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9" w:rsidRPr="00BA4DB8" w:rsidRDefault="00BE7C72" w:rsidP="00CB1CA9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ثامنا</w:t>
      </w:r>
      <w:r w:rsidR="00CB1CA9" w:rsidRPr="00BA4DB8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:</w:t>
      </w:r>
      <w:proofErr w:type="spellEnd"/>
      <w:r w:rsidR="00CB1CA9" w:rsidRPr="00BA4DB8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 xml:space="preserve"> المدرسة الخليلية</w:t>
      </w:r>
      <w:r w:rsidR="00AF2356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 xml:space="preserve"> الحديثة</w:t>
      </w:r>
      <w:r w:rsidR="00BA4DB8" w:rsidRPr="00BA4DB8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 xml:space="preserve"> لعبد الرحمن الحاج صالح</w:t>
      </w:r>
    </w:p>
    <w:p w:rsidR="00CB1CA9" w:rsidRPr="00731CF3" w:rsidRDefault="00CB1CA9" w:rsidP="00CB1CA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proofErr w:type="gramStart"/>
      <w:r w:rsidRPr="00731CF3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توطئة</w:t>
      </w:r>
      <w:proofErr w:type="gramEnd"/>
    </w:p>
    <w:p w:rsidR="00BE7C72" w:rsidRDefault="00731CF3" w:rsidP="005B7E1B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هي مدرسة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أصيلة،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نسبة إلى الخليل بن أحمد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الفراهيدي</w:t>
      </w:r>
      <w:proofErr w:type="spellEnd"/>
      <w:r w:rsidR="00BE7C72" w:rsidRPr="00971EF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"/>
        <w:sym w:font="Symbol" w:char="F02A"/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تنهل من التراث اللغوي العربي يتزعمها عالم اللسانيات العربية عبد الرحمن الحاج صالح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(1927-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2017م)،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قرأ ما تركه الخليل من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تنظيرات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ودراسات لغوية مستعينا في ذلك بخبرته الواسعة في اللسانيات الحديثة على اختلاف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مدارسها،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وبما لديه من معرفة باللغة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وببنيتها،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وقد استخرج من قراءته هذه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بعص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المفاهيم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والمبادئ،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معتمدا عليها في إنشاء نظرية ثانية بالنسبة للنظرية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الخليلية،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ما يمكن أن نسميه </w:t>
      </w:r>
      <w:r w:rsidR="00BE7C72">
        <w:rPr>
          <w:rFonts w:ascii="Simplified Arabic" w:hAnsi="Simplified Arabic" w:cs="Simplified Arabic"/>
          <w:sz w:val="28"/>
          <w:szCs w:val="28"/>
          <w:lang w:val="fr-FR" w:bidi="ar-DZ"/>
        </w:rPr>
        <w:t>Métathéorie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وهي نظرية تنافس التوليدية التحويلية في العودة إلى التراث اللغوي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العربي،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وفي محاولتها تغطية النقص الذي يعتريها في دراسة </w:t>
      </w:r>
      <w:proofErr w:type="spellStart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اللغة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2"/>
        <w:t>1</w:t>
      </w:r>
      <w:proofErr w:type="spellEnd"/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. </w:t>
      </w:r>
    </w:p>
    <w:p w:rsidR="00BE7C72" w:rsidRPr="00971EF2" w:rsidRDefault="00BE7C72" w:rsidP="00AC35FB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971EF2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منهج المدرسة</w:t>
      </w:r>
    </w:p>
    <w:p w:rsidR="00BE7C72" w:rsidRPr="00AC35FB" w:rsidRDefault="00BE7C72" w:rsidP="0062415B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بيّن الدكتور الحاج صالح أن هناك نحوا عربيا أصيلا تركه اللغويين القدامى وحصره في القرون الأربعة الأولى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الهجرة،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وبيّن أن النحو العربي الخليلي لا يقتصر على التحديد بالجنس والفصل(أي باكتشاف الصفات المميزة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وبالتالي فهو لا يكتفي بعملية الاشتمال بل يتجاوزها بإجراء الشيء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الشيء،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أو حمل العنصر على الآخر، أي بجعل علاقة مباشرة بين العناصر التي توجد مجموعتين على الأقل لاستنباط البنية التي تجمعهما جميعا. مع الأخذ بعين الاعتبار تكافؤ الكلمات وانتظامها على المحورين التركيبي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والاستبدالي،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والفئة اللغوية عندهم ليست مبنية على الكيف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فقط،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بل على الكم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أيضا،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أشار إلى ذلك الرضي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الاستراباذي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حديثه عن الصيغة بقوله: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المراد ببناء الكلمة وزنها وصيغتها وهيئتها التي يمكن أن يشاركها فيها غيرها وهي عدد حروفها المرتبة وحركاتها المعينة وسكونها مع اعتبار الحروف الزائدة والأصلية كل في موضعه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3"/>
        <w:t>2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gramStart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ومن</w:t>
      </w:r>
      <w:proofErr w:type="gramEnd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ثمة فعلماء اللغة قديما انتهجوا منهجا علميا في دراسة اللغة قائم على المشاهدة والاستقراء </w:t>
      </w:r>
      <w:proofErr w:type="spellStart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والاختبار،</w:t>
      </w:r>
      <w:proofErr w:type="spellEnd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والصياغة العقلية. وقد وضع النحو العربي على أسس </w:t>
      </w:r>
      <w:proofErr w:type="spellStart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ابستمولوجية</w:t>
      </w:r>
      <w:proofErr w:type="spellEnd"/>
      <w:r w:rsidR="00B83A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مغايرة لأسس اللسانيات البنيوية</w:t>
      </w:r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وتحديدا بالنسبة للمبادئ العقلية التي بنيت عليها </w:t>
      </w:r>
      <w:proofErr w:type="spellStart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تحليلاتهم،</w:t>
      </w:r>
      <w:proofErr w:type="spellEnd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وكذا طريقة البحث في </w:t>
      </w:r>
      <w:proofErr w:type="spellStart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اللغة؛</w:t>
      </w:r>
      <w:proofErr w:type="spellEnd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فالعرب الأوائل </w:t>
      </w:r>
      <w:proofErr w:type="spellStart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لجؤوا</w:t>
      </w:r>
      <w:proofErr w:type="spellEnd"/>
      <w:r w:rsidR="005207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إلى </w:t>
      </w:r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السماع ودونوا كلام العرب الذي أطلقوا عليه(الفصحى</w:t>
      </w:r>
      <w:proofErr w:type="spellStart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انشغلوا </w:t>
      </w:r>
      <w:proofErr w:type="spellStart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</w:t>
      </w:r>
      <w:proofErr w:type="spellEnd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وتركوا </w:t>
      </w:r>
      <w:proofErr w:type="spellStart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غيره،</w:t>
      </w:r>
      <w:proofErr w:type="spellEnd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لاسيما </w:t>
      </w:r>
      <w:proofErr w:type="spellStart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ماتعلق</w:t>
      </w:r>
      <w:proofErr w:type="spellEnd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منه بلغة القرآن الكريم.</w:t>
      </w:r>
      <w:r w:rsidR="0018572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وكل كلام للعرب يتطرق اللغوي إلى وصفه لابد أن يجري على قوانين اللغة الأساسية وأصول </w:t>
      </w:r>
      <w:proofErr w:type="spellStart"/>
      <w:proofErr w:type="gramStart"/>
      <w:r w:rsidR="00D26D9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تأديتها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4"/>
        <w:t>3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BE7C72" w:rsidRDefault="00BE7C72" w:rsidP="0062415B">
      <w:pPr>
        <w:pStyle w:val="Paragraphedeliste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lastRenderedPageBreak/>
        <w:t xml:space="preserve"> </w:t>
      </w:r>
      <w:r w:rsidRPr="0062415B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مفاهيم المدرسة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الخليلية الحديثة</w:t>
      </w:r>
    </w:p>
    <w:p w:rsidR="00BE7C72" w:rsidRDefault="00BE7C72" w:rsidP="0013606D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أهم المبادئ والمفاهيم التي اعتمدها الباحثون العرب في دراستهم وتحليلهم للغة نذكر:</w:t>
      </w:r>
    </w:p>
    <w:p w:rsidR="00BE7C72" w:rsidRDefault="00BE7C72" w:rsidP="00961E67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976084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اللسان وضع واستعمال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</w:p>
    <w:p w:rsidR="00BE7C72" w:rsidRPr="0045764A" w:rsidRDefault="00BE7C72" w:rsidP="0045764A">
      <w:pPr>
        <w:ind w:left="36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</w:t>
      </w:r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اللسان وضع من الأوضاع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التبليغية،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والمقصود بالوضع هو النظام المنسجم من الأدلة الصوتية ذوات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المعاني،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واللسان راجع إلى جماعة من الناطقين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ليس إلى فرد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واحد،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بدليل أنه ظاهرة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اجتماعية،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والوضع يكون باتفاق الجماعة في إلحاق الكلمة بالدلالة المقصودة. أما الاستعمال فهو نظام من الأدلة الموضوعة لغرض التبليغ واستعمال فعلي لهذا النظام في واقع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الخطاب،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وقد ركز العلماء الأوائل أمثال الخليل على هذا الاستعمال للغة من قبل الناطقين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بها،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ومن ثمة يعتبر هذا الاستعمال مقياسا أول في بناء منهج للبحث اللغوي. فالدراسة العلمية للغة عند العرب القدامى تعتمد على الفارق بين اللسان </w:t>
      </w:r>
      <w:proofErr w:type="spell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والكلام،</w:t>
      </w:r>
      <w:proofErr w:type="spell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أو ما يطلق عليه الوضع </w:t>
      </w:r>
      <w:proofErr w:type="spellStart"/>
      <w:proofErr w:type="gramStart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والاستعمال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5"/>
        <w:t>4</w:t>
      </w:r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proofErr w:type="gramEnd"/>
      <w:r w:rsidRPr="0045764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والاستعمال الفردي للغة يختلف عن وجودها الوضعي الجماعي الأول.</w:t>
      </w:r>
    </w:p>
    <w:p w:rsidR="00BE7C72" w:rsidRDefault="00BE7C72" w:rsidP="00976084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976084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976084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الاستقامة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: </w:t>
      </w:r>
    </w:p>
    <w:p w:rsidR="00664D50" w:rsidRDefault="00BE7C72" w:rsidP="00536B07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الاستقامة هي الاعتدال والسلامة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التركيب،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وقد أورد سيبويه رأيه فيها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بقوله: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فمنه(أي الكلام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مستقيم حسن ومحال ومستقيم كذب ومستقيم قبيح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وماهو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محال كذب. ويقول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أيضا: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وأما المحال فهو أن تنقض أول كلامك بآخره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فتقول: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(أتيتك غ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دا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...وأ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ما المستقيم القبيح فأن تضع اللفظ في غير موضعه نحو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قولك: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(قد زيدا رأيت)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6"/>
        <w:t>5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r w:rsidR="006455C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ويمكن التفصيل في رأي سيبويه كما </w:t>
      </w:r>
      <w:proofErr w:type="spellStart"/>
      <w:r w:rsidR="006455C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يلي:</w:t>
      </w:r>
      <w:proofErr w:type="spellEnd"/>
      <w:r w:rsidR="003275A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6455C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سيبويه على إثر الخليل هو أول من ميز بين السلامة الراجعة إلى 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اللفظ،</w:t>
      </w:r>
      <w:proofErr w:type="spell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المستقيم الحسن أو 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القبيح،</w:t>
      </w:r>
      <w:proofErr w:type="spell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والسلامة الخاصة 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بالمعنى:</w:t>
      </w:r>
      <w:proofErr w:type="spell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المستقيم/</w:t>
      </w:r>
      <w:proofErr w:type="spell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المحال. </w:t>
      </w:r>
      <w:proofErr w:type="gram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ثم</w:t>
      </w:r>
      <w:proofErr w:type="gram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ميز أيضا بي</w:t>
      </w:r>
      <w:r w:rsidR="006455C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ن السلامة التي يقتضيها </w:t>
      </w:r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القياس(أي النظام العام الذي يميز لغة من </w:t>
      </w:r>
      <w:r w:rsidR="00536B0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لغة لأخرى</w:t>
      </w:r>
      <w:proofErr w:type="spellStart"/>
      <w:r w:rsidR="00536B0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="00536B0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والسلامة التي يفرضها</w:t>
      </w:r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الاستعمال 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الحقيقي</w:t>
      </w:r>
      <w:proofErr w:type="spellEnd"/>
      <w:r w:rsidR="00536B0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للناطقين (</w:t>
      </w:r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وهذا معنى الاستحسان وهو استحسان الناطقين أنفسهم</w:t>
      </w:r>
      <w:proofErr w:type="spellStart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):</w:t>
      </w:r>
      <w:proofErr w:type="spellEnd"/>
      <w:r w:rsidR="00664D5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مستقيم/حسن. فعلى هذا يكون التمييز بهذه الكيفية:</w:t>
      </w:r>
    </w:p>
    <w:p w:rsidR="00976084" w:rsidRDefault="00664D50" w:rsidP="00664D50">
      <w:pPr>
        <w:pStyle w:val="Paragraphedeliste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مستقيم</w:t>
      </w:r>
      <w:proofErr w:type="gramEnd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حسن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سليم في القياس والاستعمال.</w:t>
      </w:r>
    </w:p>
    <w:p w:rsidR="00664D50" w:rsidRDefault="00664D50" w:rsidP="00664D50">
      <w:pPr>
        <w:pStyle w:val="Paragraphedeliste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مستقيم</w:t>
      </w:r>
      <w:proofErr w:type="gramEnd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قبيح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خارج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القياس،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وقليل في الاستعمال</w:t>
      </w:r>
      <w:r w:rsidR="006455C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وهو غير لحن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BE7C72" w:rsidRDefault="006455CD" w:rsidP="00253D9F">
      <w:pPr>
        <w:pStyle w:val="Paragraphedeliste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spellStart"/>
      <w:r w:rsidRPr="0051742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محال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قد يكون سليما في القياس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والاستعمال،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ولكنه غير سليم من حيث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المعنى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7"/>
        <w:t>6</w:t>
      </w:r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proofErr w:type="gramEnd"/>
    </w:p>
    <w:p w:rsidR="00BE7C72" w:rsidRPr="008F02AC" w:rsidRDefault="00BE7C72" w:rsidP="00FD5B52">
      <w:pPr>
        <w:ind w:left="806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ومن ثمة جاء التمييز بين اللفظ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والمعنى،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فإذا فُسِّر اللفظ بالنظر إلى معناه يكون التحليل ذا طابع معنوي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val="fr-FR" w:bidi="ar-DZ"/>
        </w:rPr>
        <w:t>sémantique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أما إذا اقتصر التفسير على اللفظ دون اعتبار المعنى فالتحليل يكون لفظيا نحويا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val="fr-FR" w:bidi="ar-DZ"/>
        </w:rPr>
        <w:t>sémiologique-grammatical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أن التخليط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الاعتباين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جائز،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الخطإ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والتقصير أن ننظر إلى اللفظ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المعنى،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بل النظر إلى اللفظ أولى لأنه هو الذي يحمل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المعنى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8"/>
        <w:t>7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BE7C72" w:rsidRDefault="00BE7C72" w:rsidP="00961E67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45764A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45764A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الانفصال والابتداء</w:t>
      </w:r>
    </w:p>
    <w:p w:rsidR="003B615D" w:rsidRPr="00655990" w:rsidRDefault="00BE7C72" w:rsidP="00655990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هذا المفهوم يختص بالمقام الذي ينطلق منه النظر في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فـ«لا يكون اسم مظهر على حرف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أبدا،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لأن المظهر يسكت عنده وليس قبله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شيء،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ولا يلحق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شيء،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والذي يسكت عنده وليس قبله شيء هو الاسم الذي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نفصل ويبتدئ. وبالفعل كان المنطلق عندهم كل ما ينفصل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ويبتدئ،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صفة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الانفراد،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ويمكن أن يكون بذلك الأصل لأشياء أخرى تتفرع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عليه،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ولهذا فيجب أن ينطلق من أقل ما ينطق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مما ينفصل ويبتدئ(ينفرد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وهو الاسم المظهر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بالعربية،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وكل شيء يتفرع عليه ولا يمكن لما في داخله أن ينفرد فهو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بمنزلته،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ولهذا سمى ا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لنحاة الأولون هذ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بالاسم المفرد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...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فالانفصال والابتداء يمكِّن الباحث من استكشاف الحدود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الحقيقية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التي تحصل في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وبهذا ينطلق الباحث من اللفظ(وحدة لفظية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لا يحددها إلا ما يرجع فقط إلى اللفظ وهو الانفصال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والابتداء،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و(وحدة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إفادية)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لأنها يمكن أن تكون جملة مفيدة(فقد اكتُشِفت في الكلام </w:t>
      </w:r>
      <w:proofErr w:type="spell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الحقيقي).</w:t>
      </w:r>
      <w:proofErr w:type="spellEnd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وعلى هذا فهي تحتل مكانا يتقاطع فيه اللفظ مع المعنى أو البنية </w:t>
      </w:r>
      <w:proofErr w:type="gramStart"/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بالإفادة»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9"/>
        <w:t>8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="00655990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ويمكن تقديم مثال لتوضيح هذه العمليه في </w:t>
      </w:r>
      <w:proofErr w:type="spellStart"/>
      <w:r w:rsidR="00655990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التحليل،</w:t>
      </w:r>
      <w:proofErr w:type="spellEnd"/>
      <w:r w:rsidR="00655990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أورده الباحث:</w:t>
      </w:r>
    </w:p>
    <w:p w:rsidR="00BF092F" w:rsidRDefault="00655990" w:rsidP="00655990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r w:rsidR="00BF092F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يختبرون 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مثلا </w:t>
      </w:r>
      <w:r w:rsidR="00BF092F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قطعة صوتية (كتاب</w:t>
      </w:r>
      <w:proofErr w:type="spellStart"/>
      <w:r w:rsidR="00BF092F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BF092F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بحملها على قطع أخرى</w:t>
      </w:r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لها منزلتها </w:t>
      </w:r>
      <w:proofErr w:type="spellStart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أي:</w:t>
      </w:r>
      <w:proofErr w:type="spellEnd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"تنفصل </w:t>
      </w:r>
      <w:proofErr w:type="spellStart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وتبتدئ"،</w:t>
      </w:r>
      <w:proofErr w:type="spellEnd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فعبارات أخرى مثل(بكتاب)و (بالكتاب</w:t>
      </w:r>
      <w:proofErr w:type="spellStart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و(كتاب كبير</w:t>
      </w:r>
      <w:proofErr w:type="spellStart"/>
      <w:r w:rsidR="00396F18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كل واحدة منها يمكن أن تكون كلاما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مفيدا،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ولا يمكن أن يوقف على جزء منها.  </w:t>
      </w:r>
      <w:proofErr w:type="gram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ثم</w:t>
      </w:r>
      <w:proofErr w:type="gram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يرتبون هذه العبارات على أساس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تفريعي</w:t>
      </w:r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؛</w:t>
      </w:r>
      <w:proofErr w:type="spellEnd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على أن بعضها أصل </w:t>
      </w:r>
      <w:proofErr w:type="spellStart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لبعض،</w:t>
      </w:r>
      <w:proofErr w:type="spellEnd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</w:t>
      </w:r>
      <w:r w:rsidR="00EC1E5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</w:t>
      </w:r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صل عندهم هو ما يبنى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عليه،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وبالتالي ما ليس فيه زيادة. فالأصل هنا هو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كتاب،</w:t>
      </w:r>
      <w:proofErr w:type="spellEnd"/>
      <w:r w:rsidR="00EC1E5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وتتفرع عنه العبارات الأخرى التي هي مكافئة لها (بمنزلتها)من حيث الانفصال والابتداء(الانفراد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بإلحاقها ما يسمونه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بالزوائد،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</w:t>
      </w:r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هي أداة </w:t>
      </w:r>
      <w:proofErr w:type="spellStart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التعريف،</w:t>
      </w:r>
      <w:proofErr w:type="spellEnd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وحرف </w:t>
      </w:r>
      <w:proofErr w:type="spellStart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الجر،</w:t>
      </w:r>
      <w:proofErr w:type="spellEnd"/>
      <w:r w:rsidR="00EC1E5B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</w:t>
      </w:r>
      <w:r w:rsidR="00EC1E5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</w:t>
      </w:r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عراب والتنوين إذا لم يدخل(ال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 المضاف إليه وأخيرا الصفة. فكل هذه </w:t>
      </w:r>
      <w:proofErr w:type="spellStart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الزوائد</w:t>
      </w:r>
      <w:proofErr w:type="spellEnd"/>
      <w:r w:rsidR="00A65E76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تدخل على حد الاسم</w:t>
      </w:r>
      <w:r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0"/>
        <w:t>9</w:t>
      </w:r>
      <w:r w:rsidR="00BE7C72" w:rsidRPr="0065599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971F93" w:rsidRDefault="00971F93" w:rsidP="00971F93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971F93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 الموضع والعلامة العدمية</w:t>
      </w:r>
      <w:r w:rsidRPr="00971F93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CB1CA9" w:rsidRDefault="00C505EA" w:rsidP="00676532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يقول عبد الرحمن الحاج صالح لتوضيح هذا المفهوم: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المواضع التي تحتلها الكلم هي خانات تحدد بالتأويلات </w:t>
      </w:r>
      <w:proofErr w:type="spellStart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التفريعية،</w:t>
      </w:r>
      <w:proofErr w:type="spellEnd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أي ال</w:t>
      </w:r>
      <w:r w:rsidR="00165D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نتقال من الأصل إلى مختلف الفروع بالزيادة </w:t>
      </w:r>
      <w:proofErr w:type="spellStart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التدريجية،</w:t>
      </w:r>
      <w:proofErr w:type="spellEnd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</w:t>
      </w:r>
      <w:r w:rsidR="00165D9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هذه الزيادة </w:t>
      </w:r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هي نفس التحويل(في هذا المستوى</w:t>
      </w:r>
      <w:proofErr w:type="spellStart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="0067653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472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وإذا أردنا أن نعبر عن هذا با</w:t>
      </w:r>
      <w:r w:rsidR="009D4CA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صطل</w:t>
      </w:r>
      <w:r w:rsidR="003472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="009D4CA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ح الرياضيات</w:t>
      </w:r>
      <w:r w:rsidR="003472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فيمكن أن نقول بأن ما يظهر بالتفريع في داخل المثال المولد للفظة هي عبارات متكافئة حتى ولو كانت بعضها أطول بكثير من البعض الآخر وذلك لا يخرجها عن كونها لفظة. </w:t>
      </w:r>
    </w:p>
    <w:p w:rsidR="00A65256" w:rsidRDefault="00347253" w:rsidP="00676532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ومن ثمة يتحصل اللغوي على المثال المولد للفظة بإثبات التناسب أو التناظر</w:t>
      </w:r>
      <w:r w:rsidR="0045730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بين هذه الوحدات(أو حمل أو إجراء كل منها على الآخر</w:t>
      </w:r>
      <w:proofErr w:type="spellStart"/>
      <w:r w:rsidR="0045730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="0045730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ويتم هذا الإجراء بالتحويل الذي هو هنا </w:t>
      </w:r>
      <w:proofErr w:type="spellStart"/>
      <w:r w:rsidR="00457300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الزيادة</w:t>
      </w:r>
      <w:r w:rsidR="002B740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2B740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ولهذه العملية عكسها وهو</w:t>
      </w:r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(رد الشيء إلى أصله</w:t>
      </w:r>
      <w:proofErr w:type="spellStart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حد تعبير </w:t>
      </w:r>
      <w:proofErr w:type="spellStart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النحاة،</w:t>
      </w:r>
      <w:proofErr w:type="spellEnd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وبهذه العمليات يتحدد موضع كل عنصر في داخل المثال كما سبق أن قلنا.</w:t>
      </w:r>
      <w:r w:rsidR="002B740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ولابد من الإشارة إلى أن الموضع شيء وما يحتوي عليه شيء </w:t>
      </w:r>
      <w:proofErr w:type="spellStart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آخر،</w:t>
      </w:r>
      <w:proofErr w:type="spellEnd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وهذه مفاهيم رياضية محضة وهي أهم صفة يتصف </w:t>
      </w:r>
      <w:proofErr w:type="spellStart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بها</w:t>
      </w:r>
      <w:proofErr w:type="spellEnd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التحويل الخليلي</w:t>
      </w:r>
      <w:proofErr w:type="spellStart"/>
      <w:r w:rsidR="00034A1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proofErr w:type="spellEnd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ويعبر عن هذا النحاة بأن </w:t>
      </w:r>
      <w:proofErr w:type="spellStart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الزوائد</w:t>
      </w:r>
      <w:proofErr w:type="spellEnd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تدخل وتخرج وهو ما يتصف </w:t>
      </w:r>
      <w:proofErr w:type="spellStart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</w:t>
      </w:r>
      <w:proofErr w:type="spellEnd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الإدراج الذي يت</w:t>
      </w:r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 </w:t>
      </w:r>
      <w:proofErr w:type="spellStart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بالوصل،</w:t>
      </w:r>
      <w:proofErr w:type="spellEnd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وليس كالإدراج الذي يحصل</w:t>
      </w:r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C505E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بالبناء،</w:t>
      </w:r>
      <w:proofErr w:type="spellEnd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فالوصل يحصل في داخل </w:t>
      </w:r>
      <w:proofErr w:type="spellStart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اللفظة،</w:t>
      </w:r>
      <w:proofErr w:type="spellEnd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أما البناء فهو يحدث في داخل الكلمة</w:t>
      </w:r>
      <w:proofErr w:type="spellStart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proofErr w:type="spellEnd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وكذلك في داخل النواة التركيبية</w:t>
      </w:r>
      <w:proofErr w:type="spellStart"/>
      <w:r w:rsidR="00251CE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).</w:t>
      </w:r>
      <w:proofErr w:type="spellEnd"/>
    </w:p>
    <w:p w:rsidR="00347253" w:rsidRDefault="00A65256" w:rsidP="006F7E87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إن خلو الموضع من العنصر له ما يشبهه وهو "الخلو من </w:t>
      </w:r>
      <w:r w:rsidR="0076102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العلامة أو </w:t>
      </w:r>
      <w:proofErr w:type="spellStart"/>
      <w:r w:rsidR="0076102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تركها،</w:t>
      </w:r>
      <w:proofErr w:type="spellEnd"/>
      <w:r w:rsidR="0076102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وهو ما سماه الأ</w:t>
      </w:r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ستاذ بالعلامة </w:t>
      </w:r>
      <w:proofErr w:type="spellStart"/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العدمية،</w:t>
      </w:r>
      <w:proofErr w:type="spellEnd"/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وهي التي تختفي في موضع لمقابلتها لعلامة ظاهرة في موضع </w:t>
      </w:r>
      <w:proofErr w:type="spellStart"/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آخر،</w:t>
      </w:r>
      <w:proofErr w:type="spellEnd"/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وذلك كجميع العلامات التي تميز الفروع عن أصولها(المفرد والمذكر والمكبر لها غير ظاهرة بالنسبة للجمع والمثنى والمؤنث والمصغر</w:t>
      </w:r>
      <w:proofErr w:type="spellStart"/>
      <w:r w:rsidR="006D5CC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وكذلك هو الأمر بالنسبة </w:t>
      </w:r>
      <w:proofErr w:type="spellStart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للعامل،</w:t>
      </w:r>
      <w:proofErr w:type="spellEnd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فإن العامل الذي ليس له لفظ ظاهر هو الابتداء. </w:t>
      </w:r>
      <w:proofErr w:type="spellStart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وهذاالمفهوم</w:t>
      </w:r>
      <w:proofErr w:type="spellEnd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وإن كان موجودا في اللسانيات الحديثة إلا أنه لم يُستغل الاستغلال الكافي </w:t>
      </w:r>
      <w:proofErr w:type="spellStart"/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والمناسب</w:t>
      </w:r>
      <w:r w:rsidR="002A7C0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2A7C0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فلابد أن يكون مرتبطا بالموضع داخل بنية معينة ذات عرض وطول أي في البنية التي سميت بالمثال</w:t>
      </w:r>
      <w:r w:rsidR="00A5687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1"/>
        <w:t>10</w:t>
      </w:r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  <w:r w:rsidR="006F7E8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334C24" w:rsidRDefault="00334C24" w:rsidP="006F7E87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وخلاصة القول أن الموضع هو السياق الذي يحل أو يرد فيه عنصر من العناصر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المؤثرة،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وإذا خلا ذلك الموضع من العنصر أصبح علامة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عدمية،</w:t>
      </w:r>
      <w:proofErr w:type="spellEnd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ويمكن التمثيل للموضع والعلامة العدمية على مستوى </w:t>
      </w:r>
      <w:proofErr w:type="spellStart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اللفظة،</w:t>
      </w:r>
      <w:proofErr w:type="spellEnd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ويتعلق الأمر بالعلامات التي تميز الأصول عن الفروع(المذكر </w:t>
      </w:r>
      <w:proofErr w:type="spellStart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والمؤنث/</w:t>
      </w:r>
      <w:proofErr w:type="spellEnd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المفرد والمثنى والجمع</w:t>
      </w:r>
      <w:proofErr w:type="spellStart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).</w:t>
      </w:r>
      <w:proofErr w:type="spellEnd"/>
    </w:p>
    <w:p w:rsidR="00D920AC" w:rsidRPr="00D920AC" w:rsidRDefault="00D920AC" w:rsidP="00D920A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D920AC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 المثال</w:t>
      </w:r>
      <w:r w:rsidR="00AF3C6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AF3C6D" w:rsidRDefault="001C67CA" w:rsidP="00A62BC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2pt;margin-top:253.9pt;width:15pt;height:.35pt;flip:x y;z-index:251658240" o:connectortype="straight">
            <v:stroke endarrow="block"/>
            <w10:wrap anchorx="page"/>
          </v:shape>
        </w:pict>
      </w:r>
      <w:r w:rsidR="00590BB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هذا المفهوم</w:t>
      </w:r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عربي</w:t>
      </w:r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لا يوجد له مقابل في اللسانيات </w:t>
      </w:r>
      <w:proofErr w:type="spellStart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الغربية،</w:t>
      </w:r>
      <w:proofErr w:type="spellEnd"/>
      <w:r w:rsidR="00D920AC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وهو الحد الصوري الإجرائي الذي 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تحدد العمليات المحدثة 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للوحدات،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ومن ثم المحددة لها من وجهة نظر النحو تنتج عنه صورة 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تفريعية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طردية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عكسية تنطلق من أصل إلى ما لا نهاية من 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فروع،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يسميها نحاتنا المتقدمون مثالا(يُجمع على مُثُل غالبا</w:t>
      </w:r>
      <w:proofErr w:type="spellStart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="008B7CC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والمثال ليس خاصا بهذا المستوى من تحليل الكلام</w:t>
      </w:r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الذي هو (اللفظة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بل هو موجود في كل 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المستويات،</w:t>
      </w:r>
      <w:proofErr w:type="spell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أدناها كمستوى الكلمة(وهو المكوِّن للفظة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ومستوى التراكيب الذي هو فوق اللفظة. والنحو العربي كله مُثُل لأنه الصيغ 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والرسوم،</w:t>
      </w:r>
      <w:proofErr w:type="spell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وهو شيء صوري ت</w:t>
      </w:r>
      <w:r w:rsidR="00590BB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بنى عليه كل وحدات اللغة إفرادا وتركيبا. </w:t>
      </w:r>
      <w:proofErr w:type="gram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ومثال</w:t>
      </w:r>
      <w:proofErr w:type="gram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الكلمة هو بناؤها 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ووزنها،</w:t>
      </w:r>
      <w:proofErr w:type="spellEnd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لأنه يمثل بكيفية صورية مجردة الهيئة التي يكون عليها هذا الجزء من اللفظة الذي يسمى بالكلمة. وبما أن الكلمة العربية ناتجة عن قسمة تركيب للحروف </w:t>
      </w:r>
      <w:proofErr w:type="spellStart"/>
      <w:r w:rsidR="00A15F2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الصوتية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لكن على مُثُل مع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ينة محدودة </w:t>
      </w:r>
      <w:proofErr w:type="spellStart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العدد،</w:t>
      </w:r>
      <w:proofErr w:type="spellEnd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جعل النحاة الأ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لون لكل حرف من الحروف </w:t>
      </w:r>
      <w:proofErr w:type="spellStart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الأصول؛</w:t>
      </w:r>
      <w:proofErr w:type="spellEnd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الأ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ول والثاني والثالث رموزا هي(الفاء والعين واللام</w:t>
      </w:r>
      <w:proofErr w:type="spellStart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(فعل</w:t>
      </w:r>
      <w:proofErr w:type="spellStart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هذا بالنسبة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للثلاثي،</w:t>
      </w:r>
      <w:proofErr w:type="spellEnd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وزادوا عليها </w:t>
      </w:r>
      <w:proofErr w:type="spellStart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الزوائد</w:t>
      </w:r>
      <w:proofErr w:type="spellEnd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هي بذاتها دون تجريدها إلى رموز(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لأ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نها ثوابت أما الأصول فمتغيرات</w:t>
      </w:r>
      <w:proofErr w:type="spellStart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ثم هذه المثل فأحصى منها سيبويه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ما يقرب </w:t>
      </w:r>
      <w:proofErr w:type="spellStart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من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300،</w:t>
      </w:r>
      <w:proofErr w:type="spellEnd"/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وأح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صوا بعده أكثر من ألف </w:t>
      </w:r>
      <w:proofErr w:type="spellStart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ومائتين،</w:t>
      </w:r>
      <w:proofErr w:type="spellEnd"/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وأ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كثرها قليلة 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الاستعمال. وينبه الأ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ستاذ الحاج صالح إلى أن مث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 اللفظة ومثال ال</w:t>
      </w:r>
      <w:r w:rsidR="00DE245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كلمة شيء لا يعرفه من اللسانيين إ</w:t>
      </w:r>
      <w:r w:rsidR="00476C5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لا من اطلع عللى </w:t>
      </w:r>
      <w:r w:rsidR="00590BB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ما</w:t>
      </w:r>
      <w:r w:rsidR="000B1C9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590BB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كتبه النحاة العرب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2"/>
        <w:t>11</w:t>
      </w:r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62BC3" w:rsidRPr="00A62BC3" w:rsidRDefault="00AF3C6D" w:rsidP="00A62BC3">
      <w:pPr>
        <w:pStyle w:val="Paragraphedeliste"/>
        <w:numPr>
          <w:ilvl w:val="0"/>
          <w:numId w:val="5"/>
        </w:numPr>
        <w:spacing w:after="0"/>
        <w:jc w:val="both"/>
        <w:rPr>
          <w:sz w:val="28"/>
          <w:szCs w:val="28"/>
          <w:lang w:val="fr-FR" w:bidi="ar-DZ"/>
        </w:rPr>
      </w:pPr>
      <w:r w:rsidRPr="00AF3C6D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مفهوم العامل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AF3C6D" w:rsidRPr="00A62BC3" w:rsidRDefault="00267322" w:rsidP="00A62BC3">
      <w:pPr>
        <w:spacing w:after="0"/>
        <w:jc w:val="both"/>
        <w:rPr>
          <w:sz w:val="28"/>
          <w:szCs w:val="28"/>
          <w:rtl/>
          <w:lang w:val="fr-FR" w:bidi="ar-DZ"/>
        </w:rPr>
      </w:pPr>
      <w:r w:rsidRPr="00A62BC3">
        <w:rPr>
          <w:rFonts w:hint="cs"/>
          <w:sz w:val="28"/>
          <w:szCs w:val="28"/>
          <w:rtl/>
          <w:lang w:val="fr-FR" w:bidi="ar-DZ"/>
        </w:rPr>
        <w:t xml:space="preserve"> </w:t>
      </w:r>
      <w:r w:rsidR="00AF3C6D" w:rsidRPr="00A62BC3">
        <w:rPr>
          <w:sz w:val="28"/>
          <w:szCs w:val="28"/>
          <w:rtl/>
          <w:lang w:val="fr-FR" w:bidi="ar-DZ"/>
        </w:rPr>
        <w:t xml:space="preserve"> </w:t>
      </w:r>
      <w:r w:rsidR="00F80CD5" w:rsidRPr="00A62BC3">
        <w:rPr>
          <w:rFonts w:hint="cs"/>
          <w:sz w:val="28"/>
          <w:szCs w:val="28"/>
          <w:rtl/>
          <w:lang w:val="fr-FR" w:bidi="ar-DZ"/>
        </w:rPr>
        <w:t xml:space="preserve">ليست </w:t>
      </w:r>
      <w:proofErr w:type="spellStart"/>
      <w:r w:rsidR="00F80CD5" w:rsidRPr="00A62BC3">
        <w:rPr>
          <w:rFonts w:hint="cs"/>
          <w:sz w:val="28"/>
          <w:szCs w:val="28"/>
          <w:rtl/>
          <w:lang w:val="fr-FR" w:bidi="ar-DZ"/>
        </w:rPr>
        <w:t>"</w:t>
      </w:r>
      <w:proofErr w:type="spellEnd"/>
      <w:r w:rsidR="00F80CD5" w:rsidRPr="00A62BC3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F80CD5" w:rsidRPr="00A62BC3">
        <w:rPr>
          <w:rFonts w:hint="cs"/>
          <w:sz w:val="28"/>
          <w:szCs w:val="28"/>
          <w:rtl/>
          <w:lang w:val="fr-FR" w:bidi="ar-DZ"/>
        </w:rPr>
        <w:t>اللفظة"</w:t>
      </w:r>
      <w:proofErr w:type="spellEnd"/>
      <w:r w:rsidR="00F80CD5" w:rsidRPr="00A62BC3">
        <w:rPr>
          <w:rFonts w:hint="cs"/>
          <w:sz w:val="28"/>
          <w:szCs w:val="28"/>
          <w:rtl/>
          <w:lang w:val="fr-FR" w:bidi="ar-DZ"/>
        </w:rPr>
        <w:t xml:space="preserve"> الوحدة الصغرى</w:t>
      </w:r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التي تتركب منها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التراكيب،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فلهذا المستوى وحدات أخرى من جنس آخر أكثر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تجريدا،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وفي العمليات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الحملية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الإجرائية يحمل النحاة من الكلام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بسيطه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ويحولونه بالزيادة مع الإبقاء على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النواة،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فلاحظوا أن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الزوائد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على اليمين تغير اللفظ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والمعنى،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بل تؤثر وتتحكم في بقية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التركيب،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كالتاثير</w:t>
      </w:r>
      <w:proofErr w:type="spellEnd"/>
      <w:r w:rsidR="00933015" w:rsidRPr="00A62BC3">
        <w:rPr>
          <w:rFonts w:hint="cs"/>
          <w:sz w:val="28"/>
          <w:szCs w:val="28"/>
          <w:rtl/>
          <w:lang w:val="fr-FR" w:bidi="ar-DZ"/>
        </w:rPr>
        <w:t xml:space="preserve"> في أواخر الكلم من ناحية </w:t>
      </w:r>
      <w:proofErr w:type="spellStart"/>
      <w:r w:rsidR="00933015" w:rsidRPr="00A62BC3">
        <w:rPr>
          <w:rFonts w:hint="cs"/>
          <w:sz w:val="28"/>
          <w:szCs w:val="28"/>
          <w:rtl/>
          <w:lang w:val="fr-FR" w:bidi="ar-DZ"/>
        </w:rPr>
        <w:t>الإعراب</w:t>
      </w:r>
      <w:r w:rsidR="00E55AF1" w:rsidRPr="00A62BC3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E55AF1" w:rsidRPr="00A62BC3">
        <w:rPr>
          <w:rFonts w:hint="cs"/>
          <w:sz w:val="28"/>
          <w:szCs w:val="28"/>
          <w:rtl/>
          <w:lang w:val="fr-FR" w:bidi="ar-DZ"/>
        </w:rPr>
        <w:t xml:space="preserve"> فتحصلوا بذلك على مثال تحويلي يتكون أيضا من أعمدة وسطور مثل: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1984"/>
        <w:gridCol w:w="1985"/>
        <w:gridCol w:w="1559"/>
      </w:tblGrid>
      <w:tr w:rsidR="00E55AF1" w:rsidTr="00E55AF1">
        <w:tc>
          <w:tcPr>
            <w:tcW w:w="1984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/</w:t>
            </w:r>
            <w:proofErr w:type="spell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إنّ</w:t>
            </w:r>
            <w:proofErr w:type="gram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كان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حسبتُ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أعلمتُ عمر</w:t>
            </w:r>
          </w:p>
        </w:tc>
        <w:tc>
          <w:tcPr>
            <w:tcW w:w="1985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زيدٌ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زيداً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زيدٌ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زيداً</w:t>
            </w:r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زيداً</w:t>
            </w:r>
          </w:p>
        </w:tc>
        <w:tc>
          <w:tcPr>
            <w:tcW w:w="1559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قائمٌ</w:t>
            </w:r>
            <w:proofErr w:type="gram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قائمٌ</w:t>
            </w:r>
            <w:proofErr w:type="gram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قائماً</w:t>
            </w:r>
            <w:proofErr w:type="gram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قائماً</w:t>
            </w:r>
            <w:proofErr w:type="gramEnd"/>
          </w:p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قائماً</w:t>
            </w:r>
            <w:proofErr w:type="gramEnd"/>
          </w:p>
        </w:tc>
      </w:tr>
      <w:tr w:rsidR="00E55AF1" w:rsidTr="00E55AF1">
        <w:tc>
          <w:tcPr>
            <w:tcW w:w="1984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985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559" w:type="dxa"/>
          </w:tcPr>
          <w:p w:rsidR="00E55AF1" w:rsidRDefault="00E55AF1" w:rsidP="00E55AF1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</w:t>
            </w:r>
          </w:p>
        </w:tc>
      </w:tr>
    </w:tbl>
    <w:p w:rsidR="00E55AF1" w:rsidRPr="00AF3C6D" w:rsidRDefault="00E55AF1" w:rsidP="00933015">
      <w:pPr>
        <w:spacing w:after="0"/>
        <w:ind w:left="360"/>
        <w:jc w:val="both"/>
        <w:rPr>
          <w:sz w:val="28"/>
          <w:szCs w:val="28"/>
          <w:lang w:val="fr-FR" w:bidi="ar-DZ"/>
        </w:rPr>
      </w:pPr>
    </w:p>
    <w:p w:rsidR="00CB1CA9" w:rsidRDefault="005236D1" w:rsidP="00A62BC3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ففي العمود الايمن يدخل عنصر قد يكون كلمة او لفظة بل تركيبا فيؤثر على بقية التركيب ولذلك سمي(عاملا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ثم لاحظوا ان العنصر الموجود في العمود الثاني لا يمكن بحال أن يقدم على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عامله،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فهو عند سيبويه</w:t>
      </w:r>
      <w:r w:rsidR="00BE7C72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المعمول الأول</w:t>
      </w:r>
      <w:r w:rsidR="00A62BC3">
        <w:rPr>
          <w:rFonts w:hint="cs"/>
          <w:sz w:val="28"/>
          <w:szCs w:val="28"/>
          <w:rtl/>
          <w:lang w:val="fr-FR" w:bidi="ar-DZ"/>
        </w:rPr>
        <w:t>(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م1</w:t>
      </w:r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ويكون مع عامله زوجا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مرتبا</w:t>
      </w:r>
      <w:r w:rsidR="00A62BC3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أما المعمول الثاني(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م2)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فقد يتقدم على كل العناصر إلا في حالة جمود العامل (مثل"إنّ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")،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وقد يخلو موضع العامل من العنصر الملفوظ(المشار إليه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بـ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/)،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وهو الذي يسمونه بالابتداء. وقد حملوا التراكيب التي تتكون من لفظة فعلية (غير ناسخة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)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على هذا المثال واكتشفوا عند تطبيق هذه المجموعة على الأولى أن الفعل(غير ناسخ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)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هو بمنزلة هذه العوامل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لانه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يؤثر في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التراكيب،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وأن المعمول الثاني في هذه الحالة هو المفعول 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به،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وأثبتوا أيضا أن موضع(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م1)</w:t>
      </w:r>
      <w:proofErr w:type="spellEnd"/>
      <w:r w:rsidR="00A62BC3">
        <w:rPr>
          <w:rFonts w:hint="cs"/>
          <w:sz w:val="28"/>
          <w:szCs w:val="28"/>
          <w:rtl/>
          <w:lang w:val="fr-FR" w:bidi="ar-DZ"/>
        </w:rPr>
        <w:t xml:space="preserve"> و(</w:t>
      </w:r>
      <w:proofErr w:type="spellStart"/>
      <w:r w:rsidR="00A62BC3">
        <w:rPr>
          <w:rFonts w:hint="cs"/>
          <w:sz w:val="28"/>
          <w:szCs w:val="28"/>
          <w:rtl/>
          <w:lang w:val="fr-FR" w:bidi="ar-DZ"/>
        </w:rPr>
        <w:t>م2)</w:t>
      </w:r>
      <w:proofErr w:type="spellEnd"/>
      <w:r w:rsidR="00A21FEC">
        <w:rPr>
          <w:rFonts w:hint="cs"/>
          <w:sz w:val="28"/>
          <w:szCs w:val="28"/>
          <w:rtl/>
          <w:lang w:val="fr-FR" w:bidi="ar-DZ"/>
        </w:rPr>
        <w:t xml:space="preserve"> يمكن أيضا أن تحتلها كلمة واحدة أو لفظة بل وتركيب مثل:</w:t>
      </w:r>
    </w:p>
    <w:tbl>
      <w:tblPr>
        <w:tblStyle w:val="Grilledutableau"/>
        <w:bidiVisual/>
        <w:tblW w:w="0" w:type="auto"/>
        <w:tblInd w:w="958" w:type="dxa"/>
        <w:tblLook w:val="04A0"/>
      </w:tblPr>
      <w:tblGrid>
        <w:gridCol w:w="1701"/>
        <w:gridCol w:w="2126"/>
        <w:gridCol w:w="1985"/>
      </w:tblGrid>
      <w:tr w:rsidR="00A21FEC" w:rsidTr="00A21FEC">
        <w:tc>
          <w:tcPr>
            <w:tcW w:w="1701" w:type="dxa"/>
          </w:tcPr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>/</w:t>
            </w:r>
            <w:proofErr w:type="spellEnd"/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رأيْــ</w:t>
            </w:r>
            <w:proofErr w:type="gramEnd"/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رأيْــ</w:t>
            </w:r>
            <w:proofErr w:type="gramEnd"/>
          </w:p>
        </w:tc>
        <w:tc>
          <w:tcPr>
            <w:tcW w:w="2126" w:type="dxa"/>
          </w:tcPr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أن تصوموا</w:t>
            </w:r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تُ</w:t>
            </w:r>
            <w:proofErr w:type="spellEnd"/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تُــ</w:t>
            </w:r>
            <w:proofErr w:type="spellEnd"/>
          </w:p>
        </w:tc>
        <w:tc>
          <w:tcPr>
            <w:tcW w:w="1985" w:type="dxa"/>
          </w:tcPr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خير لكم</w:t>
            </w:r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زيداً</w:t>
            </w:r>
          </w:p>
          <w:p w:rsidR="00A21FEC" w:rsidRDefault="00A21FEC" w:rsidP="00A21FE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كَ</w:t>
            </w:r>
            <w:proofErr w:type="spellEnd"/>
          </w:p>
        </w:tc>
      </w:tr>
    </w:tbl>
    <w:p w:rsidR="009102A1" w:rsidRDefault="009102A1" w:rsidP="00A62BC3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</w:p>
    <w:p w:rsidR="00A21FEC" w:rsidRDefault="009102A1" w:rsidP="00A62BC3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فيتبين بهذا ان العناصر التركيبية هي عناصر خاصة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مجردة،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كما أن هناك عناصر أخرى تدخل وتخرج(علاقتها بغيرها علاقة وصل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على هذه النواة التركيبية وهي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زوائد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مخصصة كالمفاعيل والحال وغيرها</w:t>
      </w:r>
      <w:r w:rsidR="009D7818">
        <w:rPr>
          <w:rFonts w:hint="cs"/>
          <w:sz w:val="28"/>
          <w:szCs w:val="28"/>
          <w:rtl/>
          <w:lang w:val="fr-FR" w:bidi="ar-DZ"/>
        </w:rPr>
        <w:t>(خ</w:t>
      </w:r>
      <w:proofErr w:type="spellStart"/>
      <w:r w:rsidR="009D7818">
        <w:rPr>
          <w:rFonts w:hint="cs"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9D7818">
        <w:rPr>
          <w:rFonts w:hint="cs"/>
          <w:sz w:val="28"/>
          <w:szCs w:val="28"/>
          <w:rtl/>
          <w:lang w:val="fr-FR" w:bidi="ar-DZ"/>
        </w:rPr>
        <w:t>ويمكن ان نمثل للعلاقات القائمة بين هذه الوحدات التركيبية بهذه الصيغة:</w:t>
      </w:r>
    </w:p>
    <w:p w:rsidR="009D7818" w:rsidRDefault="009D7818" w:rsidP="00A62BC3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9D7818" w:rsidRDefault="00AF70FE" w:rsidP="00AF70FE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بناء        </w:t>
      </w:r>
      <w:r w:rsidR="009D7818">
        <w:rPr>
          <w:rFonts w:hint="cs"/>
          <w:sz w:val="28"/>
          <w:szCs w:val="28"/>
          <w:rtl/>
          <w:lang w:val="fr-FR" w:bidi="ar-DZ"/>
        </w:rPr>
        <w:t xml:space="preserve"> وصل</w:t>
      </w:r>
    </w:p>
    <w:p w:rsidR="00AF70FE" w:rsidRDefault="001C67CA" w:rsidP="00AF70FE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034" type="#_x0000_t32" style="position:absolute;left:0;text-align:left;margin-left:418.9pt;margin-top:9.5pt;width:0;height:7.6pt;z-index:2516643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3" type="#_x0000_t32" style="position:absolute;left:0;text-align:left;margin-left:386.35pt;margin-top:9.5pt;width:0;height:7.6pt;z-index:251663360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386.35pt;margin-top:9.45pt;width:32.55pt;height:.05pt;z-index:251662336" o:connectortype="straight">
            <w10:wrap anchorx="page"/>
          </v:shape>
        </w:pict>
      </w:r>
    </w:p>
    <w:p w:rsidR="00BE7C72" w:rsidRDefault="001C67CA" w:rsidP="00AF70FE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 w:rsidRPr="001C67CA">
        <w:rPr>
          <w:rFonts w:asciiTheme="minorBidi" w:hAnsiTheme="minorBidi"/>
          <w:noProof/>
          <w:sz w:val="28"/>
          <w:szCs w:val="28"/>
          <w:rtl/>
        </w:rPr>
        <w:pict>
          <v:shape id="_x0000_s1027" type="#_x0000_t32" style="position:absolute;left:0;text-align:left;margin-left:395.9pt;margin-top:10.9pt;width:17.15pt;height:.05pt;flip:x;z-index:251659264" o:connectortype="straight">
            <v:stroke endarrow="block"/>
            <w10:wrap anchorx="page"/>
          </v:shape>
        </w:pict>
      </w:r>
      <w:proofErr w:type="spellStart"/>
      <w:r w:rsidR="00AF70FE">
        <w:rPr>
          <w:rFonts w:asciiTheme="minorBidi" w:hAnsiTheme="minorBidi"/>
          <w:sz w:val="28"/>
          <w:szCs w:val="28"/>
          <w:rtl/>
          <w:lang w:val="fr-FR" w:bidi="ar-DZ"/>
        </w:rPr>
        <w:t>[</w:t>
      </w:r>
      <w:proofErr w:type="spellEnd"/>
      <w:r w:rsidR="00AF70FE">
        <w:rPr>
          <w:rFonts w:hint="cs"/>
          <w:sz w:val="28"/>
          <w:szCs w:val="28"/>
          <w:rtl/>
          <w:lang w:val="fr-FR" w:bidi="ar-DZ"/>
        </w:rPr>
        <w:t xml:space="preserve">(ع       </w:t>
      </w:r>
      <w:proofErr w:type="spellStart"/>
      <w:r w:rsidR="00AF70FE">
        <w:rPr>
          <w:rFonts w:hint="cs"/>
          <w:sz w:val="28"/>
          <w:szCs w:val="28"/>
          <w:rtl/>
          <w:lang w:val="fr-FR" w:bidi="ar-DZ"/>
        </w:rPr>
        <w:t>م1)</w:t>
      </w:r>
      <w:r w:rsidR="00AF70FE">
        <w:rPr>
          <w:rFonts w:asciiTheme="minorBidi" w:hAnsiTheme="minorBidi"/>
          <w:sz w:val="28"/>
          <w:szCs w:val="28"/>
          <w:rtl/>
          <w:lang w:val="fr-FR" w:bidi="ar-DZ"/>
        </w:rPr>
        <w:t>±</w:t>
      </w:r>
      <w:proofErr w:type="spellEnd"/>
      <w:r w:rsidR="00AF70FE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AF70FE">
        <w:rPr>
          <w:rFonts w:hint="cs"/>
          <w:sz w:val="28"/>
          <w:szCs w:val="28"/>
          <w:rtl/>
          <w:lang w:val="fr-FR" w:bidi="ar-DZ"/>
        </w:rPr>
        <w:t>م2</w:t>
      </w:r>
      <w:proofErr w:type="spellEnd"/>
      <w:r w:rsidR="00AF70FE">
        <w:rPr>
          <w:rFonts w:asciiTheme="minorBidi" w:hAnsiTheme="minorBidi"/>
          <w:sz w:val="28"/>
          <w:szCs w:val="28"/>
          <w:rtl/>
          <w:lang w:val="fr-FR" w:bidi="ar-DZ"/>
        </w:rPr>
        <w:t>]±</w:t>
      </w:r>
      <w:r w:rsidR="00AF70FE">
        <w:rPr>
          <w:rFonts w:hint="cs"/>
          <w:sz w:val="28"/>
          <w:szCs w:val="28"/>
          <w:rtl/>
          <w:lang w:val="fr-FR" w:bidi="ar-DZ"/>
        </w:rPr>
        <w:t xml:space="preserve">خ </w:t>
      </w:r>
      <w:r w:rsidR="00BE7C72">
        <w:rPr>
          <w:rStyle w:val="Appeldenotedefin"/>
          <w:sz w:val="28"/>
          <w:szCs w:val="28"/>
          <w:rtl/>
          <w:lang w:val="fr-FR" w:bidi="ar-DZ"/>
        </w:rPr>
        <w:endnoteReference w:customMarkFollows="1" w:id="13"/>
        <w:t>12</w:t>
      </w:r>
    </w:p>
    <w:p w:rsidR="00BE7C72" w:rsidRDefault="00BE7C72" w:rsidP="0024052F">
      <w:pPr>
        <w:spacing w:after="0"/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ويعتبر العامل نقطة هامة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واساسية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عند النحاة العرب له تأثير على المعنى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والمبنى،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حيث يرتبط في النظرية الخليلة الحديثة بتركيب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الجملة،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وهو المحرك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الحقيقي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لعناصرها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والمسؤول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عن ضبط الترتيب والتماسك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داخلها،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كما يحدد وظيفة الجملة والحركات الإعرابية المناسبة لها.</w:t>
      </w:r>
    </w:p>
    <w:p w:rsidR="00BE7C72" w:rsidRPr="00A648DF" w:rsidRDefault="00BE7C72" w:rsidP="00A648DF">
      <w:pPr>
        <w:pStyle w:val="Paragraphedeliste"/>
        <w:numPr>
          <w:ilvl w:val="0"/>
          <w:numId w:val="5"/>
        </w:num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A648D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A648D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الإطالة والتكرار:</w:t>
      </w:r>
    </w:p>
    <w:p w:rsidR="00BE7C72" w:rsidRPr="0068053F" w:rsidRDefault="00BE7C72" w:rsidP="0068053F">
      <w:p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لاحظ اللغويون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العرب-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وبعدهم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تشومسكي-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أن المواضع البنيوية للكلام أمر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مهم،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فالعامل يمكن أن يحتوي على كلمة مثل(إنّ)و(كان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ويمكن أن يحتوي على لفظة مثل(حسبت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أو حتى على تركيب مثل(أعلمت عمر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).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فهناك ظاهرة تشمل جميع اللغات البشرية وهي تداخل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مستوياتها،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مثل تضمّن أو احتواء وحدة على المستوى الأوسط(مستوى اللفظة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لوحدات من المستوى الأعلى الخاص ببناء الكلام،أو لفظة في موضع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كلمة،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فهذه الظاهرة تفطن إليها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تشومسكي،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سماها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val="fr-FR" w:bidi="ar-DZ"/>
        </w:rPr>
        <w:t>ré</w:t>
      </w:r>
      <w:r w:rsidRPr="00373553">
        <w:rPr>
          <w:rFonts w:ascii="Simplified Arabic" w:hAnsi="Simplified Arabic" w:cs="Simplified Arabic"/>
          <w:sz w:val="28"/>
          <w:szCs w:val="28"/>
          <w:lang w:val="fr-FR" w:bidi="ar-DZ"/>
        </w:rPr>
        <w:t>cu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rrence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وعرفها بأنها قدرة الشيء على التكرار إلى ما لا 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نهاية،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بينما سماها سيبويه</w:t>
      </w:r>
      <w:proofErr w:type="spellStart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(</w:t>
      </w:r>
      <w:proofErr w:type="spellEnd"/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الإطالة)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4"/>
        <w:t>13</w:t>
      </w:r>
      <w:r w:rsidRPr="0037355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BE7C72" w:rsidRDefault="00BE7C72" w:rsidP="00A648DF">
      <w:pPr>
        <w:pStyle w:val="Paragraphedeliste"/>
        <w:numPr>
          <w:ilvl w:val="0"/>
          <w:numId w:val="5"/>
        </w:num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A648D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A648D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القياس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68053F" w:rsidRPr="00B03C08" w:rsidRDefault="00BE7C72" w:rsidP="00226084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</w:t>
      </w:r>
      <w:r w:rsidRPr="00B03C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هو تلك العملية المنطقية الرياضية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التي تسمى التفريع من الأصل على مثال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سابق،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وهو تكافؤ العناصر في البنية لا في شيء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آخر،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ومن ناحية لغوية غير لغة النحو فقد تأثر بعلم الكلام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والفلسفة،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وصار الجامع فيه العلة ومفهوم العلة موجود في النحو العربي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الأصيل،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لكن كعامل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اضطراب،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كمبرر خارجي (خارج البنية اللغوية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للعناصر الشاذة عن بابها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5"/>
        <w:t>14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648DF" w:rsidRDefault="00A648DF" w:rsidP="00A648DF">
      <w:pPr>
        <w:pStyle w:val="Paragraphedeliste"/>
        <w:numPr>
          <w:ilvl w:val="0"/>
          <w:numId w:val="5"/>
        </w:num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A648D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 الأصل والفرع:</w:t>
      </w:r>
    </w:p>
    <w:p w:rsidR="009E2824" w:rsidRDefault="009E2824" w:rsidP="00E4750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9E282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النحو العربي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كله مبني على هذين المفهومين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الرياضيين،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حيث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ميز النحاة بين الأصل باعتباره الثابت المستمر الذي 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يتغير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والفرع بأنه الأ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صل مع الزيادة وفق طر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يقة علمية معينة من خلال حمل الأ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شياء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بعضها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="0007387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بغرض بيان التكافؤ بينها في </w:t>
      </w:r>
      <w:proofErr w:type="spellStart"/>
      <w:r w:rsidR="0007387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البنية،</w:t>
      </w:r>
      <w:proofErr w:type="spellEnd"/>
      <w:r w:rsidR="0007387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وينتج عنه كيان جديد 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لكن الجامع بين الاثنين هو البنية. كما اهتم الأوائل من نحاة العرب بالنظام في سياق الكلام </w:t>
      </w:r>
      <w:proofErr w:type="spellStart"/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والآداء</w:t>
      </w:r>
      <w:proofErr w:type="spellEnd"/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الفعلي</w:t>
      </w:r>
      <w:r w:rsidR="00BE7C72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6"/>
        <w:t>15</w:t>
      </w:r>
      <w:r w:rsidR="00BE7C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على نحو: </w:t>
      </w:r>
    </w:p>
    <w:p w:rsidR="00E47508" w:rsidRDefault="000B7C65" w:rsidP="00E47508">
      <w:pPr>
        <w:pStyle w:val="Paragraphedeliste"/>
        <w:numPr>
          <w:ilvl w:val="0"/>
          <w:numId w:val="9"/>
        </w:num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رافقت زميلة لي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E47508" w:rsidRPr="00E47508" w:rsidRDefault="000B7C65" w:rsidP="00E47508">
      <w:pPr>
        <w:pStyle w:val="Paragraphedeliste"/>
        <w:numPr>
          <w:ilvl w:val="0"/>
          <w:numId w:val="9"/>
        </w:num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رافقت زميلتي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E47508" w:rsidRDefault="000B7C65" w:rsidP="00E47508">
      <w:pPr>
        <w:pStyle w:val="Paragraphedeliste"/>
        <w:numPr>
          <w:ilvl w:val="0"/>
          <w:numId w:val="9"/>
        </w:num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رافقتني زميلتي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E47508" w:rsidRPr="00E47508" w:rsidRDefault="000B7C65" w:rsidP="00E47508">
      <w:pPr>
        <w:pStyle w:val="Paragraphedeliste"/>
        <w:numPr>
          <w:ilvl w:val="0"/>
          <w:numId w:val="9"/>
        </w:num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رافقت مريم إلى بيتها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E47508" w:rsidRDefault="000B7C65" w:rsidP="000B7C65">
      <w:pPr>
        <w:pStyle w:val="Paragraphedeliste"/>
        <w:numPr>
          <w:ilvl w:val="0"/>
          <w:numId w:val="9"/>
        </w:numPr>
        <w:spacing w:after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رافقت مريم نحو بيتها</w:t>
      </w:r>
      <w:r w:rsidR="00E4750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D21AC5" w:rsidRDefault="003F69A9" w:rsidP="00BE7C72">
      <w:pPr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فهذه المفاهيم هي التي قرأ </w:t>
      </w:r>
      <w:proofErr w:type="spellStart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بها</w:t>
      </w:r>
      <w:proofErr w:type="spellEnd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صاحب النظرية الخليلية الحديثة التراث 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عربي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الأصيل،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باستخدامه لبعض الآليات التي وضعها قدامى</w:t>
      </w:r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اللغويين والإضافة </w:t>
      </w:r>
      <w:proofErr w:type="spellStart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إليها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proofErr w:type="spellEnd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سعيا لكشف مفاهيم جديدة تساعد على سبر أغوا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</w:t>
      </w:r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العربية وإزاحة الستار </w:t>
      </w:r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عن </w:t>
      </w:r>
      <w:proofErr w:type="spellStart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غوامضها</w:t>
      </w:r>
      <w:proofErr w:type="spellEnd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وأسرارها في جانبها التركيبي والنحوي </w:t>
      </w:r>
      <w:proofErr w:type="spellStart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خاصة،</w:t>
      </w:r>
      <w:proofErr w:type="spellEnd"/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ولأجل استيعاب خصائص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ها</w:t>
      </w:r>
      <w:r w:rsidRPr="003F69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التي تميزها عن غيرها من اللغات.</w:t>
      </w:r>
    </w:p>
    <w:p w:rsidR="00BE7C72" w:rsidRPr="00BE7C72" w:rsidRDefault="00BE7C72" w:rsidP="00BE7C72">
      <w:pPr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sectPr w:rsidR="00BE7C72" w:rsidRPr="00BE7C72" w:rsidSect="0046469D">
      <w:footerReference w:type="default" r:id="rId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1D" w:rsidRDefault="00332C1D" w:rsidP="005B7E1B">
      <w:pPr>
        <w:spacing w:after="0" w:line="240" w:lineRule="auto"/>
      </w:pPr>
      <w:r>
        <w:separator/>
      </w:r>
    </w:p>
  </w:endnote>
  <w:endnote w:type="continuationSeparator" w:id="0">
    <w:p w:rsidR="00332C1D" w:rsidRDefault="00332C1D" w:rsidP="005B7E1B">
      <w:pPr>
        <w:spacing w:after="0" w:line="240" w:lineRule="auto"/>
      </w:pPr>
      <w:r>
        <w:continuationSeparator/>
      </w:r>
    </w:p>
  </w:endnote>
  <w:endnote w:id="1">
    <w:p w:rsidR="00BE7C72" w:rsidRPr="00BE7C72" w:rsidRDefault="00BE7C72" w:rsidP="00971EF2">
      <w:pPr>
        <w:pStyle w:val="Notedefin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sym w:font="Symbol" w:char="F02A"/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«</w:t>
      </w:r>
      <w:proofErr w:type="spellEnd"/>
      <w:r w:rsidRPr="00BE7C7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أبو عبد الرحمن الخليل بن أحمد بن عمرو بن تميمي </w:t>
      </w:r>
      <w:proofErr w:type="spellStart"/>
      <w:r w:rsidRPr="00BE7C7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الفراهيدي</w:t>
      </w:r>
      <w:proofErr w:type="spellEnd"/>
      <w:r w:rsidRPr="00BE7C7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الأزدي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نابغة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العرب،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وسيد أهل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الأدب،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مبتكر علم العروض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والمعجمات،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وصاحب الشكل لعربي المستعمل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الآن».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بن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في العصر الحديث ومناهجها في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البحث،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دار الوعي للنشر والتوزيع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ط2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2012،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ص85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endnote>
  <w:endnote w:id="2">
    <w:p w:rsidR="00BE7C72" w:rsidRPr="00BE7C72" w:rsidRDefault="00BE7C72" w:rsidP="00971EF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85-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89.</w:t>
      </w:r>
    </w:p>
  </w:endnote>
  <w:endnote w:id="3">
    <w:p w:rsidR="00BE7C72" w:rsidRPr="00BE7C72" w:rsidRDefault="00BE7C72" w:rsidP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2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الشيخ  رضي الدين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الاستراباذي،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شرح شافية ابن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الحاجب،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1/2،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دار الكتب العلمية بيروت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لبنان،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90.</w:t>
      </w:r>
    </w:p>
  </w:endnote>
  <w:endnote w:id="4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3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ينظر: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بن،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في العصر الحديث ومناهجها في البحث،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89-92.</w:t>
      </w:r>
    </w:p>
  </w:endnote>
  <w:endnote w:id="5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4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ينظر: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ص94،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95.</w:t>
      </w:r>
    </w:p>
  </w:endnote>
  <w:endnote w:id="6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5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عبد الرحمن الحاج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صالح،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النظرية الخليلية الحديثة –مفاهيمها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الأساسية-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كراسات المركز سلسلة يصدرها مركز البحث العلمي والتقني لتطوير اللغة العربية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بالجزائر،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العدد 4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،2007،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ص30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</w:endnote>
  <w:endnote w:id="7">
    <w:p w:rsidR="00BE7C72" w:rsidRPr="00BE7C72" w:rsidRDefault="00BE7C72" w:rsidP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6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المرجع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نفسه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30،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31.</w:t>
      </w:r>
    </w:p>
  </w:endnote>
  <w:endnote w:id="8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7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ص31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endnote>
  <w:endnote w:id="9">
    <w:p w:rsidR="00BE7C72" w:rsidRPr="00BE7C72" w:rsidRDefault="00BE7C72" w:rsidP="00BE7C72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8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32.</w:t>
      </w:r>
    </w:p>
  </w:endnote>
  <w:endnote w:id="10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9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بن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في العصر الحديث ومناهجها في البحث،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ص101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>.</w:t>
      </w:r>
    </w:p>
  </w:endnote>
  <w:endnote w:id="11">
    <w:p w:rsidR="00BE7C72" w:rsidRPr="00BE7C72" w:rsidRDefault="00BE7C72" w:rsidP="00BE7C72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10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المرجع نفسه،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104،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105.</w:t>
      </w:r>
    </w:p>
  </w:endnote>
  <w:endnote w:id="12">
    <w:p w:rsidR="00BE7C72" w:rsidRPr="00BE7C72" w:rsidRDefault="00BE7C72" w:rsidP="009051CF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11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105،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106.</w:t>
      </w:r>
    </w:p>
  </w:endnote>
  <w:endnote w:id="13">
    <w:p w:rsidR="00BE7C72" w:rsidRPr="00BE7C72" w:rsidRDefault="00BE7C72" w:rsidP="009051CF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12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عبد الرحمن الحاج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صالح،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بحوث ودراسات في اللسانيات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العربية،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الجزء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الأول،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موفم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للنشر الجزائر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2012،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222-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224.</w:t>
      </w:r>
    </w:p>
  </w:endnote>
  <w:endnote w:id="14">
    <w:p w:rsidR="00BE7C72" w:rsidRPr="00BE7C72" w:rsidRDefault="00BE7C72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13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بن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التواتي،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في العصر الحديث ومناهجها في البحث،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ص112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>.</w:t>
      </w:r>
    </w:p>
  </w:endnote>
  <w:endnote w:id="15">
    <w:p w:rsidR="00BE7C72" w:rsidRPr="00BE7C72" w:rsidRDefault="00BE7C72" w:rsidP="00697150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14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ص120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-122.</w:t>
      </w:r>
    </w:p>
  </w:endnote>
  <w:endnote w:id="16">
    <w:p w:rsidR="00BE7C72" w:rsidRPr="00BE7C72" w:rsidRDefault="00BE7C72" w:rsidP="000B7C65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BE7C72">
        <w:rPr>
          <w:rStyle w:val="Appeldenotedefin"/>
          <w:rFonts w:ascii="Simplified Arabic" w:hAnsi="Simplified Arabic" w:cs="Simplified Arabic"/>
          <w:sz w:val="24"/>
          <w:szCs w:val="24"/>
          <w:rtl/>
        </w:rPr>
        <w:t>15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ينظر: </w:t>
      </w:r>
      <w:r w:rsidRPr="00BE7C72">
        <w:rPr>
          <w:rFonts w:ascii="Simplified Arabic" w:hAnsi="Simplified Arabic" w:cs="Simplified Arabic"/>
          <w:sz w:val="24"/>
          <w:szCs w:val="24"/>
          <w:rtl/>
          <w:lang w:bidi="ar-DZ"/>
        </w:rPr>
        <w:t>المرجع نفسه،</w:t>
      </w:r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ص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BE7C72">
        <w:rPr>
          <w:rFonts w:ascii="Simplified Arabic" w:hAnsi="Simplified Arabic" w:cs="Simplified Arabic"/>
          <w:sz w:val="24"/>
          <w:szCs w:val="24"/>
          <w:rtl/>
        </w:rPr>
        <w:t>123-</w:t>
      </w:r>
      <w:proofErr w:type="spellEnd"/>
      <w:r w:rsidRPr="00BE7C72">
        <w:rPr>
          <w:rFonts w:ascii="Simplified Arabic" w:hAnsi="Simplified Arabic" w:cs="Simplified Arabic"/>
          <w:sz w:val="24"/>
          <w:szCs w:val="24"/>
          <w:rtl/>
        </w:rPr>
        <w:t xml:space="preserve"> 125.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313501"/>
      <w:docPartObj>
        <w:docPartGallery w:val="Page Numbers (Bottom of Page)"/>
        <w:docPartUnique/>
      </w:docPartObj>
    </w:sdtPr>
    <w:sdtContent>
      <w:p w:rsidR="008241D0" w:rsidRDefault="001C67CA">
        <w:pPr>
          <w:pStyle w:val="Pieddepage"/>
          <w:jc w:val="center"/>
        </w:pPr>
        <w:fldSimple w:instr=" PAGE   \* MERGEFORMAT ">
          <w:r w:rsidR="00AF2356">
            <w:rPr>
              <w:noProof/>
              <w:rtl/>
            </w:rPr>
            <w:t>1</w:t>
          </w:r>
        </w:fldSimple>
      </w:p>
    </w:sdtContent>
  </w:sdt>
  <w:p w:rsidR="008241D0" w:rsidRDefault="008241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1D" w:rsidRDefault="00332C1D" w:rsidP="005B7E1B">
      <w:pPr>
        <w:spacing w:after="0" w:line="240" w:lineRule="auto"/>
      </w:pPr>
      <w:r>
        <w:separator/>
      </w:r>
    </w:p>
  </w:footnote>
  <w:footnote w:type="continuationSeparator" w:id="0">
    <w:p w:rsidR="00332C1D" w:rsidRDefault="00332C1D" w:rsidP="005B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97D"/>
    <w:multiLevelType w:val="hybridMultilevel"/>
    <w:tmpl w:val="9F22656E"/>
    <w:lvl w:ilvl="0" w:tplc="72B4F83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AF2"/>
    <w:multiLevelType w:val="hybridMultilevel"/>
    <w:tmpl w:val="124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4D18"/>
    <w:multiLevelType w:val="hybridMultilevel"/>
    <w:tmpl w:val="0EB0B7A8"/>
    <w:lvl w:ilvl="0" w:tplc="F1AABF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1CB3"/>
    <w:multiLevelType w:val="hybridMultilevel"/>
    <w:tmpl w:val="84B82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6F2B"/>
    <w:multiLevelType w:val="hybridMultilevel"/>
    <w:tmpl w:val="11E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7F9"/>
    <w:multiLevelType w:val="hybridMultilevel"/>
    <w:tmpl w:val="6D04943E"/>
    <w:lvl w:ilvl="0" w:tplc="45625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A18"/>
    <w:multiLevelType w:val="hybridMultilevel"/>
    <w:tmpl w:val="F55A1A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71DC5AD5"/>
    <w:multiLevelType w:val="hybridMultilevel"/>
    <w:tmpl w:val="F09AC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42CB"/>
    <w:multiLevelType w:val="hybridMultilevel"/>
    <w:tmpl w:val="B9601726"/>
    <w:lvl w:ilvl="0" w:tplc="72B4F83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A9"/>
    <w:rsid w:val="00034A1B"/>
    <w:rsid w:val="0007387E"/>
    <w:rsid w:val="000903D1"/>
    <w:rsid w:val="000B1C94"/>
    <w:rsid w:val="000B7C65"/>
    <w:rsid w:val="00105546"/>
    <w:rsid w:val="0011710B"/>
    <w:rsid w:val="00131E70"/>
    <w:rsid w:val="0013606D"/>
    <w:rsid w:val="001361B4"/>
    <w:rsid w:val="00165D9A"/>
    <w:rsid w:val="00185728"/>
    <w:rsid w:val="001C67CA"/>
    <w:rsid w:val="00226084"/>
    <w:rsid w:val="0024052F"/>
    <w:rsid w:val="00251CE1"/>
    <w:rsid w:val="00253D9F"/>
    <w:rsid w:val="00267322"/>
    <w:rsid w:val="00283B42"/>
    <w:rsid w:val="00287895"/>
    <w:rsid w:val="002A7C0C"/>
    <w:rsid w:val="002B7402"/>
    <w:rsid w:val="002D746E"/>
    <w:rsid w:val="002D7E31"/>
    <w:rsid w:val="002E0F39"/>
    <w:rsid w:val="003275AA"/>
    <w:rsid w:val="00332C1D"/>
    <w:rsid w:val="00334C24"/>
    <w:rsid w:val="00347253"/>
    <w:rsid w:val="0036359E"/>
    <w:rsid w:val="00373553"/>
    <w:rsid w:val="00396F18"/>
    <w:rsid w:val="003A782F"/>
    <w:rsid w:val="003B615D"/>
    <w:rsid w:val="003D7E26"/>
    <w:rsid w:val="003F69A9"/>
    <w:rsid w:val="00420443"/>
    <w:rsid w:val="00457300"/>
    <w:rsid w:val="0045764A"/>
    <w:rsid w:val="0046469D"/>
    <w:rsid w:val="00476C54"/>
    <w:rsid w:val="00517423"/>
    <w:rsid w:val="0052079A"/>
    <w:rsid w:val="005236D1"/>
    <w:rsid w:val="00536B07"/>
    <w:rsid w:val="005527C7"/>
    <w:rsid w:val="005655BD"/>
    <w:rsid w:val="0057188D"/>
    <w:rsid w:val="00590BB1"/>
    <w:rsid w:val="005B3BE1"/>
    <w:rsid w:val="005B7E1B"/>
    <w:rsid w:val="005F295C"/>
    <w:rsid w:val="00621613"/>
    <w:rsid w:val="0062415B"/>
    <w:rsid w:val="00627ACD"/>
    <w:rsid w:val="006455CD"/>
    <w:rsid w:val="00655990"/>
    <w:rsid w:val="00664D50"/>
    <w:rsid w:val="00676532"/>
    <w:rsid w:val="0068053F"/>
    <w:rsid w:val="00686854"/>
    <w:rsid w:val="00697150"/>
    <w:rsid w:val="006D5CC2"/>
    <w:rsid w:val="006E06F3"/>
    <w:rsid w:val="006F7E87"/>
    <w:rsid w:val="00731CF3"/>
    <w:rsid w:val="00737464"/>
    <w:rsid w:val="00753BB2"/>
    <w:rsid w:val="00761023"/>
    <w:rsid w:val="0078133C"/>
    <w:rsid w:val="00795AC3"/>
    <w:rsid w:val="007B51C8"/>
    <w:rsid w:val="007D3D19"/>
    <w:rsid w:val="008241D0"/>
    <w:rsid w:val="008B7CCE"/>
    <w:rsid w:val="008B7CE2"/>
    <w:rsid w:val="008E2E55"/>
    <w:rsid w:val="008F02AC"/>
    <w:rsid w:val="009051CF"/>
    <w:rsid w:val="009102A1"/>
    <w:rsid w:val="00912FEB"/>
    <w:rsid w:val="00933015"/>
    <w:rsid w:val="00961E67"/>
    <w:rsid w:val="0096716F"/>
    <w:rsid w:val="00971EF2"/>
    <w:rsid w:val="00971F93"/>
    <w:rsid w:val="00976084"/>
    <w:rsid w:val="009930E8"/>
    <w:rsid w:val="009D4CAA"/>
    <w:rsid w:val="009D7818"/>
    <w:rsid w:val="009E2824"/>
    <w:rsid w:val="00A11A92"/>
    <w:rsid w:val="00A15F25"/>
    <w:rsid w:val="00A21FEC"/>
    <w:rsid w:val="00A56871"/>
    <w:rsid w:val="00A628B1"/>
    <w:rsid w:val="00A62BC3"/>
    <w:rsid w:val="00A648DF"/>
    <w:rsid w:val="00A65256"/>
    <w:rsid w:val="00A65E76"/>
    <w:rsid w:val="00A7233D"/>
    <w:rsid w:val="00A8147B"/>
    <w:rsid w:val="00A827F8"/>
    <w:rsid w:val="00AC35FB"/>
    <w:rsid w:val="00AC686D"/>
    <w:rsid w:val="00AE17A4"/>
    <w:rsid w:val="00AE7090"/>
    <w:rsid w:val="00AF2356"/>
    <w:rsid w:val="00AF3C6D"/>
    <w:rsid w:val="00AF3F9C"/>
    <w:rsid w:val="00AF70FE"/>
    <w:rsid w:val="00B03C08"/>
    <w:rsid w:val="00B0675C"/>
    <w:rsid w:val="00B63E1E"/>
    <w:rsid w:val="00B83A50"/>
    <w:rsid w:val="00BA4DB8"/>
    <w:rsid w:val="00BB033A"/>
    <w:rsid w:val="00BD2D5C"/>
    <w:rsid w:val="00BE7C72"/>
    <w:rsid w:val="00BF092F"/>
    <w:rsid w:val="00C11B7D"/>
    <w:rsid w:val="00C25D22"/>
    <w:rsid w:val="00C505EA"/>
    <w:rsid w:val="00C62C88"/>
    <w:rsid w:val="00C84A1B"/>
    <w:rsid w:val="00CB1CA9"/>
    <w:rsid w:val="00CD29A8"/>
    <w:rsid w:val="00D12F7C"/>
    <w:rsid w:val="00D21AC5"/>
    <w:rsid w:val="00D26D98"/>
    <w:rsid w:val="00D920AC"/>
    <w:rsid w:val="00DC2E91"/>
    <w:rsid w:val="00DC47CD"/>
    <w:rsid w:val="00DD41CB"/>
    <w:rsid w:val="00DE2451"/>
    <w:rsid w:val="00E41BDE"/>
    <w:rsid w:val="00E47508"/>
    <w:rsid w:val="00E5560A"/>
    <w:rsid w:val="00E55AF1"/>
    <w:rsid w:val="00EC1E5B"/>
    <w:rsid w:val="00F01F9B"/>
    <w:rsid w:val="00F0678F"/>
    <w:rsid w:val="00F403E9"/>
    <w:rsid w:val="00F555CB"/>
    <w:rsid w:val="00F80CD5"/>
    <w:rsid w:val="00F975C4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4"/>
        <o:r id="V:Rule7" type="connector" idref="#_x0000_s1026"/>
        <o:r id="V:Rule8" type="connector" idref="#_x0000_s1033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CA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7E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7E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7E1B"/>
    <w:rPr>
      <w:vertAlign w:val="superscript"/>
    </w:rPr>
  </w:style>
  <w:style w:type="table" w:styleId="Grilledutableau">
    <w:name w:val="Table Grid"/>
    <w:basedOn w:val="TableauNormal"/>
    <w:uiPriority w:val="59"/>
    <w:rsid w:val="00E5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1D0"/>
  </w:style>
  <w:style w:type="paragraph" w:styleId="Pieddepage">
    <w:name w:val="footer"/>
    <w:basedOn w:val="Normal"/>
    <w:link w:val="PieddepageCar"/>
    <w:uiPriority w:val="99"/>
    <w:unhideWhenUsed/>
    <w:rsid w:val="0082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1D0"/>
  </w:style>
  <w:style w:type="paragraph" w:styleId="Notedefin">
    <w:name w:val="endnote text"/>
    <w:basedOn w:val="Normal"/>
    <w:link w:val="NotedefinCar"/>
    <w:uiPriority w:val="99"/>
    <w:semiHidden/>
    <w:unhideWhenUsed/>
    <w:rsid w:val="00BE7C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7C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E7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A84E90-CFA2-4613-8A6F-90E0B75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2022-10-15T11:25:00Z</dcterms:created>
  <dcterms:modified xsi:type="dcterms:W3CDTF">2022-10-16T16:13:00Z</dcterms:modified>
</cp:coreProperties>
</file>