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1F8" w:rsidRPr="007D11F8" w:rsidRDefault="007D11F8" w:rsidP="007D11F8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</w:pPr>
      <w:r w:rsidRPr="007D11F8">
        <w:rPr>
          <w:rFonts w:ascii="Times New Roman" w:eastAsia="Times New Roman" w:hAnsi="Times New Roman" w:cs="Times New Roman"/>
          <w:b/>
          <w:bCs/>
          <w:color w:val="4C1130"/>
          <w:sz w:val="36"/>
          <w:szCs w:val="36"/>
          <w:rtl/>
          <w:lang w:eastAsia="fr-FR"/>
        </w:rPr>
        <w:t>د.</w:t>
      </w:r>
      <w:proofErr w:type="spellStart"/>
      <w:r w:rsidRPr="007D11F8">
        <w:rPr>
          <w:rFonts w:ascii="Times New Roman" w:eastAsia="Times New Roman" w:hAnsi="Times New Roman" w:cs="Times New Roman"/>
          <w:b/>
          <w:bCs/>
          <w:color w:val="4C1130"/>
          <w:sz w:val="36"/>
          <w:szCs w:val="36"/>
          <w:rtl/>
          <w:lang w:eastAsia="fr-FR"/>
        </w:rPr>
        <w:t>باديس</w:t>
      </w:r>
      <w:proofErr w:type="spellEnd"/>
      <w:r w:rsidRPr="007D11F8">
        <w:rPr>
          <w:rFonts w:ascii="Times New Roman" w:eastAsia="Times New Roman" w:hAnsi="Times New Roman" w:cs="Times New Roman"/>
          <w:b/>
          <w:bCs/>
          <w:color w:val="4C1130"/>
          <w:sz w:val="36"/>
          <w:szCs w:val="36"/>
          <w:rtl/>
          <w:lang w:eastAsia="fr-FR"/>
        </w:rPr>
        <w:t xml:space="preserve"> </w:t>
      </w:r>
      <w:proofErr w:type="spellStart"/>
      <w:r w:rsidRPr="007D11F8">
        <w:rPr>
          <w:rFonts w:ascii="Times New Roman" w:eastAsia="Times New Roman" w:hAnsi="Times New Roman" w:cs="Times New Roman"/>
          <w:b/>
          <w:bCs/>
          <w:color w:val="4C1130"/>
          <w:sz w:val="36"/>
          <w:szCs w:val="36"/>
          <w:rtl/>
          <w:lang w:eastAsia="fr-FR"/>
        </w:rPr>
        <w:t>لونيس</w:t>
      </w:r>
      <w:proofErr w:type="spellEnd"/>
    </w:p>
    <w:p w:rsidR="007D11F8" w:rsidRPr="007D11F8" w:rsidRDefault="007D11F8" w:rsidP="007D11F8">
      <w:pPr>
        <w:bidi/>
        <w:spacing w:before="100" w:beforeAutospacing="1" w:after="100" w:afterAutospacing="1" w:line="240" w:lineRule="auto"/>
        <w:jc w:val="both"/>
        <w:outlineLvl w:val="2"/>
        <w:rPr>
          <w:rFonts w:ascii="Inconsolata" w:eastAsia="Times New Roman" w:hAnsi="Inconsolata" w:cs="Times New Roman"/>
          <w:b/>
          <w:bCs/>
          <w:color w:val="000000"/>
          <w:sz w:val="27"/>
          <w:szCs w:val="27"/>
          <w:rtl/>
          <w:lang w:eastAsia="fr-FR"/>
        </w:rPr>
      </w:pPr>
      <w:r w:rsidRPr="007D11F8">
        <w:rPr>
          <w:rFonts w:ascii="Times New Roman" w:eastAsia="Times New Roman" w:hAnsi="Times New Roman" w:cs="Times New Roman"/>
          <w:b/>
          <w:bCs/>
          <w:color w:val="4C1130"/>
          <w:sz w:val="36"/>
          <w:szCs w:val="36"/>
          <w:rtl/>
          <w:lang w:eastAsia="fr-FR"/>
        </w:rPr>
        <w:t>ملا</w:t>
      </w:r>
      <w:r w:rsidRPr="007D11F8">
        <w:rPr>
          <w:rFonts w:ascii="Times New Roman" w:eastAsia="Times New Roman" w:hAnsi="Times New Roman" w:cs="Times New Roman"/>
          <w:b/>
          <w:bCs/>
          <w:color w:val="4C1130"/>
          <w:sz w:val="32"/>
          <w:szCs w:val="32"/>
          <w:rtl/>
          <w:lang w:eastAsia="fr-FR"/>
        </w:rPr>
        <w:t>حظات أولية:</w:t>
      </w:r>
    </w:p>
    <w:p w:rsidR="007D11F8" w:rsidRPr="007D11F8" w:rsidRDefault="007D11F8" w:rsidP="007D11F8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</w:pPr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نلاحظ من خلال مذكرات التخرج ما يلي:</w:t>
      </w:r>
    </w:p>
    <w:p w:rsidR="007D11F8" w:rsidRPr="007D11F8" w:rsidRDefault="007D11F8" w:rsidP="007D11F8">
      <w:pPr>
        <w:bidi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</w:pPr>
      <w:r w:rsidRPr="007D11F8">
        <w:rPr>
          <w:rFonts w:ascii="Times New Roman" w:eastAsia="Times New Roman" w:hAnsi="Times New Roman" w:cs="Times New Roman"/>
          <w:color w:val="20124D"/>
          <w:sz w:val="32"/>
          <w:szCs w:val="32"/>
          <w:rtl/>
          <w:lang w:eastAsia="fr-FR"/>
        </w:rPr>
        <w:t>1</w:t>
      </w:r>
      <w:r w:rsidRPr="007D11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>- </w:t>
      </w:r>
      <w:proofErr w:type="gramStart"/>
      <w:r w:rsidRPr="007D11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>النمطية</w:t>
      </w:r>
      <w:proofErr w:type="gramEnd"/>
      <w:r w:rsidRPr="007D11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>:</w:t>
      </w:r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 في اختيار المواضيع أو في المنهجيات.</w:t>
      </w:r>
    </w:p>
    <w:p w:rsidR="007D11F8" w:rsidRPr="007D11F8" w:rsidRDefault="007D11F8" w:rsidP="007D11F8">
      <w:pPr>
        <w:bidi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</w:pPr>
      <w:r w:rsidRPr="007D11F8">
        <w:rPr>
          <w:rFonts w:ascii="Times New Roman" w:eastAsia="Times New Roman" w:hAnsi="Times New Roman" w:cs="Times New Roman"/>
          <w:color w:val="20124D"/>
          <w:sz w:val="32"/>
          <w:szCs w:val="32"/>
          <w:rtl/>
          <w:lang w:eastAsia="fr-FR"/>
        </w:rPr>
        <w:t>2</w:t>
      </w:r>
      <w:r w:rsidRPr="007D11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>- غياب الوعي: </w:t>
      </w:r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اختيارات الطالب المنهجية غالبا ما تخضع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الى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الصدفة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او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الى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توجيه المشرف، دون وعي كامل وإدراك للأسباب اختياراته تلك.</w:t>
      </w:r>
    </w:p>
    <w:p w:rsidR="007D11F8" w:rsidRPr="007D11F8" w:rsidRDefault="007D11F8" w:rsidP="007D11F8">
      <w:pPr>
        <w:bidi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</w:pPr>
      <w:r w:rsidRPr="007D11F8">
        <w:rPr>
          <w:rFonts w:ascii="Times New Roman" w:eastAsia="Times New Roman" w:hAnsi="Times New Roman" w:cs="Times New Roman"/>
          <w:color w:val="20124D"/>
          <w:sz w:val="32"/>
          <w:szCs w:val="32"/>
          <w:rtl/>
          <w:lang w:eastAsia="fr-FR"/>
        </w:rPr>
        <w:t>3</w:t>
      </w:r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- عدم التفرقة بين البحوث الكمية ومتطلباتها والبحوث الكيفية ومتطلباتها المنهجية.</w:t>
      </w:r>
    </w:p>
    <w:p w:rsidR="007D11F8" w:rsidRPr="007D11F8" w:rsidRDefault="007D11F8" w:rsidP="007D11F8">
      <w:pPr>
        <w:bidi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</w:pPr>
      <w:r w:rsidRPr="007D11F8">
        <w:rPr>
          <w:rFonts w:ascii="Times New Roman" w:eastAsia="Times New Roman" w:hAnsi="Times New Roman" w:cs="Times New Roman"/>
          <w:color w:val="20124D"/>
          <w:sz w:val="32"/>
          <w:szCs w:val="32"/>
          <w:rtl/>
          <w:lang w:eastAsia="fr-FR"/>
        </w:rPr>
        <w:t>4</w:t>
      </w:r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- غياب الإطار النظري والاستناد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الى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براديغم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يوجه البحث.</w:t>
      </w:r>
    </w:p>
    <w:p w:rsidR="007D11F8" w:rsidRPr="007D11F8" w:rsidRDefault="007D11F8" w:rsidP="007D11F8">
      <w:pPr>
        <w:bidi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</w:pPr>
      <w:r w:rsidRPr="007D11F8">
        <w:rPr>
          <w:rFonts w:ascii="Times New Roman" w:eastAsia="Times New Roman" w:hAnsi="Times New Roman" w:cs="Times New Roman"/>
          <w:color w:val="20124D"/>
          <w:sz w:val="32"/>
          <w:szCs w:val="32"/>
          <w:rtl/>
          <w:lang w:eastAsia="fr-FR"/>
        </w:rPr>
        <w:t>5</w:t>
      </w:r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- غياب الانسجام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الابستمولوجي</w:t>
      </w:r>
      <w:proofErr w:type="spellEnd"/>
    </w:p>
    <w:p w:rsidR="007D11F8" w:rsidRPr="007D11F8" w:rsidRDefault="007D11F8" w:rsidP="007D11F8">
      <w:pPr>
        <w:bidi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</w:pPr>
      <w:r w:rsidRPr="007D11F8">
        <w:rPr>
          <w:rFonts w:ascii="Times New Roman" w:eastAsia="Times New Roman" w:hAnsi="Times New Roman" w:cs="Times New Roman"/>
          <w:color w:val="20124D"/>
          <w:sz w:val="32"/>
          <w:szCs w:val="32"/>
          <w:rtl/>
          <w:lang w:eastAsia="fr-FR"/>
        </w:rPr>
        <w:t>6</w:t>
      </w:r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- ونتيجة ذلك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انتاج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مذكرة مهلهلة غير متكاملة بنيويا والنتيجة نتائج غير ذات مصداقية. وهو ما يساهم في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الاخير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فكرة بول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فاييرابند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 حول فوضوية المؤسسة العلمية في كتابه ذائع الصيت "ضد المنهج" الصادر عام 1975م.</w:t>
      </w:r>
    </w:p>
    <w:p w:rsidR="007D11F8" w:rsidRPr="007D11F8" w:rsidRDefault="007D11F8" w:rsidP="007D11F8">
      <w:pPr>
        <w:bidi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</w:pPr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*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اما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السبب في ذلك فهو حالة الانفصال السائدة في وعي وإدراك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ومخيال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الطلبة بين الانطلاق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الابستمولوجي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والوصول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الى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الممارسة البحثية التقنية؛ هناك حالة انفصال بين الخلفية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الابستمولوجية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المتعلقة بفلسفة العلم والاختيارات المنهجية المختلفة.</w:t>
      </w:r>
    </w:p>
    <w:p w:rsidR="007D11F8" w:rsidRPr="007D11F8" w:rsidRDefault="007D11F8" w:rsidP="007D11F8">
      <w:pPr>
        <w:bidi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</w:pPr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* وأعتقد أن حل هذه المعضلة هو الانتماء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الى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براديغم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ما ثم إدراك منهجية هذا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البراديغم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وإتباعها.</w:t>
      </w:r>
    </w:p>
    <w:p w:rsidR="007D11F8" w:rsidRPr="007D11F8" w:rsidRDefault="007D11F8" w:rsidP="007D11F8">
      <w:pPr>
        <w:bidi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</w:pPr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* ونعرف أن كل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البراديغمات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باختلاف توجهاتها تنقسم في منجيتها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الى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قسمين رئيسيين: </w:t>
      </w:r>
    </w:p>
    <w:p w:rsidR="007D11F8" w:rsidRPr="007D11F8" w:rsidRDefault="007D11F8" w:rsidP="007D11F8">
      <w:pPr>
        <w:bidi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</w:pPr>
      <w:r w:rsidRPr="007D11F8">
        <w:rPr>
          <w:rFonts w:ascii="Times New Roman" w:eastAsia="Times New Roman" w:hAnsi="Times New Roman" w:cs="Times New Roman"/>
          <w:b/>
          <w:bCs/>
          <w:color w:val="20124D"/>
          <w:sz w:val="32"/>
          <w:szCs w:val="32"/>
          <w:rtl/>
          <w:lang w:eastAsia="fr-FR"/>
        </w:rPr>
        <w:t>- منهجية كمية؛</w:t>
      </w:r>
      <w:r w:rsidRPr="007D11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> </w:t>
      </w:r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تعود أصولها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الى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المدرسة الوضعية، وتمثلها من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البراديغمات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: السلوكية،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السيبرنيطيقة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، الوظيفية، وهي تهدف أكثر ما تهدف إلى التفسير.</w:t>
      </w:r>
    </w:p>
    <w:p w:rsidR="007D11F8" w:rsidRPr="007D11F8" w:rsidRDefault="007D11F8" w:rsidP="007D11F8">
      <w:pPr>
        <w:bidi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</w:pPr>
      <w:r w:rsidRPr="007D11F8">
        <w:rPr>
          <w:rFonts w:ascii="Times New Roman" w:eastAsia="Times New Roman" w:hAnsi="Times New Roman" w:cs="Times New Roman"/>
          <w:b/>
          <w:bCs/>
          <w:color w:val="20124D"/>
          <w:sz w:val="32"/>
          <w:szCs w:val="32"/>
          <w:rtl/>
          <w:lang w:eastAsia="fr-FR"/>
        </w:rPr>
        <w:t>- منهجية كيفية؛</w:t>
      </w:r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 وتعود أصولها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الى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المدرسة التأويلية، وتمثلها من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البراديغمات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: النقدية،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الظاهرتية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، التفاعلية الرمزية والبنيوية، وهي تهدف أكثر ما تهدف إلى الفهم.</w:t>
      </w:r>
      <w:r w:rsidRPr="007D11F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  <w:br/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باإضافة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الى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اتجاه ينحى منحى يجمع بين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الطريقيتين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ويسمى </w:t>
      </w:r>
      <w:r w:rsidRPr="007D11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>بالبحوث المختلطة،</w:t>
      </w:r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 يستمد شرعيته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الابيستمولوجية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من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البراديغم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البراغماتي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.</w:t>
      </w:r>
    </w:p>
    <w:p w:rsidR="007D11F8" w:rsidRPr="007D11F8" w:rsidRDefault="007D11F8" w:rsidP="007D11F8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</w:pPr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وتتمثل أهم </w:t>
      </w:r>
      <w:proofErr w:type="spellStart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>الفروقات</w:t>
      </w:r>
      <w:proofErr w:type="spellEnd"/>
      <w:r w:rsidRPr="007D11F8">
        <w:rPr>
          <w:rFonts w:ascii="Times New Roman" w:eastAsia="Times New Roman" w:hAnsi="Times New Roman" w:cs="Times New Roman"/>
          <w:color w:val="000000"/>
          <w:sz w:val="32"/>
          <w:szCs w:val="32"/>
          <w:rtl/>
          <w:lang w:eastAsia="fr-FR"/>
        </w:rPr>
        <w:t xml:space="preserve"> بين المنهجيتين في:</w:t>
      </w:r>
    </w:p>
    <w:p w:rsidR="007D11F8" w:rsidRPr="007D11F8" w:rsidRDefault="007D11F8" w:rsidP="007D11F8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</w:pPr>
    </w:p>
    <w:tbl>
      <w:tblPr>
        <w:tblpPr w:leftFromText="141" w:rightFromText="141" w:vertAnchor="text"/>
        <w:bidiVisual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1"/>
        <w:gridCol w:w="1746"/>
        <w:gridCol w:w="2867"/>
        <w:gridCol w:w="2894"/>
      </w:tblGrid>
      <w:tr w:rsidR="007D11F8" w:rsidRPr="007D11F8" w:rsidTr="007D11F8"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/>
              </w:rPr>
              <w:t> </w:t>
            </w:r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 w:bidi="ar-DZ"/>
              </w:rPr>
              <w:t>البحوث الكمية</w:t>
            </w:r>
          </w:p>
        </w:tc>
        <w:tc>
          <w:tcPr>
            <w:tcW w:w="2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 w:bidi="ar-DZ"/>
              </w:rPr>
              <w:t>البحوث</w:t>
            </w:r>
            <w:proofErr w:type="gramEnd"/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 w:bidi="ar-DZ"/>
              </w:rPr>
              <w:t xml:space="preserve"> الكيفية</w:t>
            </w:r>
          </w:p>
        </w:tc>
      </w:tr>
      <w:tr w:rsidR="007D11F8" w:rsidRPr="007D11F8" w:rsidTr="007D11F8">
        <w:tc>
          <w:tcPr>
            <w:tcW w:w="13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/>
              </w:rPr>
              <w:t xml:space="preserve">الخلفية </w:t>
            </w:r>
            <w:proofErr w:type="spellStart"/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/>
              </w:rPr>
              <w:t>الابيستمولوجية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/>
              </w:rPr>
              <w:t xml:space="preserve">الاتجاه </w:t>
            </w:r>
            <w:proofErr w:type="spellStart"/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/>
              </w:rPr>
              <w:t>الابيستمولوجي</w:t>
            </w:r>
            <w:proofErr w:type="spellEnd"/>
          </w:p>
        </w:tc>
        <w:tc>
          <w:tcPr>
            <w:tcW w:w="2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/>
              </w:rPr>
              <w:t>الوضعية</w:t>
            </w:r>
            <w:proofErr w:type="gramEnd"/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التأويلية والبنائية</w:t>
            </w:r>
          </w:p>
        </w:tc>
      </w:tr>
      <w:tr w:rsidR="007D11F8" w:rsidRPr="007D11F8" w:rsidTr="007D11F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D11F8" w:rsidRPr="007D11F8" w:rsidRDefault="007D11F8" w:rsidP="007D1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/>
              </w:rPr>
              <w:t>البراديغمات</w:t>
            </w:r>
            <w:proofErr w:type="spellEnd"/>
          </w:p>
        </w:tc>
        <w:tc>
          <w:tcPr>
            <w:tcW w:w="2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/>
              </w:rPr>
              <w:t xml:space="preserve">الوظيفية، </w:t>
            </w:r>
            <w:proofErr w:type="spell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/>
              </w:rPr>
              <w:t>السيبرنيطيقية</w:t>
            </w:r>
            <w:proofErr w:type="spellEnd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/>
              </w:rPr>
              <w:t>، السلوكية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 xml:space="preserve">التحليل النفسي، </w:t>
            </w:r>
            <w:proofErr w:type="spell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الظاهرتية</w:t>
            </w:r>
            <w:proofErr w:type="spellEnd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، البنيوية، النقدية، التفاعلية الرمزية</w:t>
            </w:r>
          </w:p>
        </w:tc>
      </w:tr>
      <w:tr w:rsidR="007D11F8" w:rsidRPr="007D11F8" w:rsidTr="007D11F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D11F8" w:rsidRPr="007D11F8" w:rsidRDefault="007D11F8" w:rsidP="007D1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 w:bidi="ar-DZ"/>
              </w:rPr>
              <w:t xml:space="preserve">النظر </w:t>
            </w:r>
            <w:proofErr w:type="spellStart"/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 w:bidi="ar-DZ"/>
              </w:rPr>
              <w:t>الى</w:t>
            </w:r>
            <w:proofErr w:type="spellEnd"/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 w:bidi="ar-DZ"/>
              </w:rPr>
              <w:t xml:space="preserve"> الظاهرة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</w:pPr>
            <w:proofErr w:type="gram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افتراض</w:t>
            </w:r>
            <w:proofErr w:type="gramEnd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 xml:space="preserve"> وجود حقيقة  اجتماعية موضوعية واحدة</w:t>
            </w:r>
          </w:p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lastRenderedPageBreak/>
              <w:t>فالموضوع منجز ومنفصل عن الذات العارفة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lastRenderedPageBreak/>
              <w:t>الحقائق متعددة،</w:t>
            </w:r>
          </w:p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 xml:space="preserve">فلا وجود لموضوع من دون إدراك، </w:t>
            </w:r>
            <w:proofErr w:type="spell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والإدراكات</w:t>
            </w:r>
            <w:proofErr w:type="spellEnd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 xml:space="preserve"> </w:t>
            </w: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lastRenderedPageBreak/>
              <w:t>تختلف حسب السياقات والانتماءات</w:t>
            </w:r>
          </w:p>
        </w:tc>
      </w:tr>
      <w:tr w:rsidR="007D11F8" w:rsidRPr="007D11F8" w:rsidTr="007D11F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D11F8" w:rsidRPr="007D11F8" w:rsidRDefault="007D11F8" w:rsidP="007D1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 w:bidi="ar-DZ"/>
              </w:rPr>
              <w:t>مسعى</w:t>
            </w:r>
            <w:proofErr w:type="gramEnd"/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 w:bidi="ar-DZ"/>
              </w:rPr>
              <w:t xml:space="preserve"> البحث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 xml:space="preserve">يسعى البحث العلمي </w:t>
            </w:r>
            <w:proofErr w:type="spell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الى</w:t>
            </w:r>
            <w:proofErr w:type="spellEnd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 xml:space="preserve"> بناء علاقات و</w:t>
            </w:r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 w:bidi="ar-DZ"/>
              </w:rPr>
              <w:t>تفسير</w:t>
            </w: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 </w:t>
            </w:r>
            <w:proofErr w:type="spell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اسباب</w:t>
            </w:r>
            <w:proofErr w:type="spellEnd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 xml:space="preserve"> التغيرات في الحقائق الاجتماعية </w:t>
            </w:r>
            <w:proofErr w:type="spell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المقاسة</w:t>
            </w:r>
            <w:proofErr w:type="spellEnd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 xml:space="preserve"> ومن ثم الوصول </w:t>
            </w:r>
            <w:proofErr w:type="spell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الى</w:t>
            </w:r>
            <w:proofErr w:type="spellEnd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 </w:t>
            </w:r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 w:bidi="ar-DZ"/>
              </w:rPr>
              <w:t>تعميمات </w:t>
            </w: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مفيدة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يهدف إلى</w:t>
            </w:r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 w:bidi="ar-DZ"/>
              </w:rPr>
              <w:t> فهم </w:t>
            </w: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 xml:space="preserve">الظاهرة الاجتماعية من منظور المشاركين </w:t>
            </w:r>
            <w:proofErr w:type="spell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انفسهم</w:t>
            </w:r>
            <w:proofErr w:type="spellEnd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 </w:t>
            </w:r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 w:bidi="ar-DZ"/>
              </w:rPr>
              <w:t>وتأويلها</w:t>
            </w: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.</w:t>
            </w:r>
          </w:p>
        </w:tc>
      </w:tr>
      <w:tr w:rsidR="007D11F8" w:rsidRPr="007D11F8" w:rsidTr="007D11F8"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fr-FR"/>
              </w:rPr>
            </w:pPr>
          </w:p>
          <w:p w:rsidR="007D11F8" w:rsidRPr="007D11F8" w:rsidRDefault="007D11F8" w:rsidP="007D11F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/>
              </w:rPr>
              <w:t>معيار</w:t>
            </w:r>
            <w:proofErr w:type="gramEnd"/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/>
              </w:rPr>
              <w:t xml:space="preserve"> التقسيم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 w:bidi="ar-DZ"/>
              </w:rPr>
              <w:t>نوع البيانات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/>
              </w:rPr>
              <w:t> </w:t>
            </w:r>
            <w:proofErr w:type="gram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/>
              </w:rPr>
              <w:t>رقمية</w:t>
            </w:r>
            <w:proofErr w:type="gramEnd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/>
              </w:rPr>
              <w:t xml:space="preserve"> كمية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كلمات</w:t>
            </w:r>
            <w:proofErr w:type="gramEnd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 xml:space="preserve"> وألفاظ وعبارات</w:t>
            </w:r>
          </w:p>
        </w:tc>
      </w:tr>
      <w:tr w:rsidR="007D11F8" w:rsidRPr="007D11F8" w:rsidTr="007D11F8">
        <w:tc>
          <w:tcPr>
            <w:tcW w:w="13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/>
              </w:rPr>
              <w:t>الاجراءات</w:t>
            </w:r>
            <w:proofErr w:type="spellEnd"/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/>
              </w:rPr>
              <w:t xml:space="preserve"> المنهجية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 w:bidi="ar-DZ"/>
              </w:rPr>
              <w:t>دور الباحث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الباحث منفصل عن الدراسة لكي يبتعد عن التحيز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ينغمس الباحث في الموقف والظاهرة موضوع الدراسة</w:t>
            </w:r>
          </w:p>
        </w:tc>
      </w:tr>
      <w:tr w:rsidR="007D11F8" w:rsidRPr="007D11F8" w:rsidTr="007D11F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D11F8" w:rsidRPr="007D11F8" w:rsidRDefault="007D11F8" w:rsidP="007D1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 w:bidi="ar-DZ"/>
              </w:rPr>
              <w:t>المناهج</w:t>
            </w:r>
            <w:proofErr w:type="gramEnd"/>
          </w:p>
        </w:tc>
        <w:tc>
          <w:tcPr>
            <w:tcW w:w="2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المناهج الكمية:</w:t>
            </w:r>
            <w:proofErr w:type="gram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منهج</w:t>
            </w:r>
            <w:proofErr w:type="gramEnd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 xml:space="preserve"> المسح، المنهج التجريبي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 xml:space="preserve">المناهج الكيفية: </w:t>
            </w:r>
            <w:proofErr w:type="spell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الاثنوغرافي</w:t>
            </w:r>
            <w:proofErr w:type="spellEnd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، دراسة الحالة، التاريخي، تحليل الخطاب بمقارباته العديدة</w:t>
            </w:r>
          </w:p>
        </w:tc>
      </w:tr>
      <w:tr w:rsidR="007D11F8" w:rsidRPr="007D11F8" w:rsidTr="007D11F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D11F8" w:rsidRPr="007D11F8" w:rsidRDefault="007D11F8" w:rsidP="007D1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 w:bidi="ar-DZ"/>
              </w:rPr>
              <w:t>الأدوات</w:t>
            </w:r>
            <w:proofErr w:type="gramEnd"/>
          </w:p>
        </w:tc>
        <w:tc>
          <w:tcPr>
            <w:tcW w:w="2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الاستبيان</w:t>
            </w:r>
            <w:proofErr w:type="gramEnd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، تحليل المحتوى، التجربة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المقابلة</w:t>
            </w:r>
            <w:proofErr w:type="gramEnd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، الملاحظة، تحليل الوثائق، تحليل السير</w:t>
            </w:r>
          </w:p>
        </w:tc>
      </w:tr>
      <w:tr w:rsidR="007D11F8" w:rsidRPr="007D11F8" w:rsidTr="007D11F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D11F8" w:rsidRPr="007D11F8" w:rsidRDefault="007D11F8" w:rsidP="007D1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7D11F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fr-FR" w:bidi="ar-DZ"/>
              </w:rPr>
              <w:t>العينات</w:t>
            </w:r>
            <w:proofErr w:type="gramEnd"/>
          </w:p>
        </w:tc>
        <w:tc>
          <w:tcPr>
            <w:tcW w:w="2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العينات</w:t>
            </w:r>
            <w:proofErr w:type="gramEnd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 xml:space="preserve"> الاحتمالية: العشوائية البسيطة، المنتظمة، الطبقية، متعددة المراحل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1F8" w:rsidRPr="007D11F8" w:rsidRDefault="007D11F8" w:rsidP="007D11F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 xml:space="preserve">العينات غير الاحتمالية: الصدفية، </w:t>
            </w:r>
            <w:proofErr w:type="spell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القصدية</w:t>
            </w:r>
            <w:proofErr w:type="spellEnd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 xml:space="preserve">، الثلجية، </w:t>
            </w:r>
            <w:proofErr w:type="spellStart"/>
            <w:r w:rsidRPr="007D11F8"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fr-FR" w:bidi="ar-DZ"/>
              </w:rPr>
              <w:t>الحصصية</w:t>
            </w:r>
            <w:proofErr w:type="spellEnd"/>
          </w:p>
        </w:tc>
      </w:tr>
    </w:tbl>
    <w:p w:rsidR="007D11F8" w:rsidRPr="007D11F8" w:rsidRDefault="007D11F8" w:rsidP="007D11F8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</w:pPr>
    </w:p>
    <w:p w:rsidR="007D11F8" w:rsidRPr="007D11F8" w:rsidRDefault="007D11F8" w:rsidP="007D11F8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rtl/>
          <w:lang w:eastAsia="fr-FR"/>
        </w:rPr>
      </w:pPr>
      <w:r w:rsidRPr="007D11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 xml:space="preserve">الجدول من إعداد الباحث: </w:t>
      </w:r>
      <w:proofErr w:type="spellStart"/>
      <w:r w:rsidRPr="007D11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>باديس</w:t>
      </w:r>
      <w:proofErr w:type="spellEnd"/>
      <w:r w:rsidRPr="007D11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 xml:space="preserve"> </w:t>
      </w:r>
      <w:proofErr w:type="spellStart"/>
      <w:r w:rsidRPr="007D11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>لونيس</w:t>
      </w:r>
      <w:proofErr w:type="spellEnd"/>
    </w:p>
    <w:p w:rsidR="007D11F8" w:rsidRPr="007D11F8" w:rsidRDefault="007D11F8" w:rsidP="007D11F8">
      <w:pPr>
        <w:bidi/>
        <w:spacing w:before="100" w:beforeAutospacing="1" w:after="100" w:afterAutospacing="1" w:line="240" w:lineRule="auto"/>
        <w:ind w:hanging="36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fr-FR"/>
        </w:rPr>
      </w:pPr>
      <w:r w:rsidRPr="007D11F8">
        <w:rPr>
          <w:rFonts w:ascii="Times New Roman" w:eastAsia="Times New Roman" w:hAnsi="Times New Roman" w:cs="Times New Roman"/>
          <w:color w:val="000000"/>
          <w:sz w:val="14"/>
          <w:szCs w:val="14"/>
          <w:rtl/>
          <w:lang w:eastAsia="fr-FR"/>
        </w:rPr>
        <w:t>   * </w:t>
      </w:r>
      <w:r w:rsidRPr="007D11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 xml:space="preserve">ملخص مداخلة أُلقيت في اليوم الدراسي: المنهجية في بحوث الإعلام والاتصال، المنظم من قبل مخبر الأمن </w:t>
      </w:r>
      <w:proofErr w:type="spellStart"/>
      <w:r w:rsidRPr="007D11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>الانساني</w:t>
      </w:r>
      <w:proofErr w:type="spellEnd"/>
      <w:r w:rsidRPr="007D11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 xml:space="preserve">، يوم 10 فيفري 2014م بجامعة </w:t>
      </w:r>
      <w:proofErr w:type="spellStart"/>
      <w:r w:rsidRPr="007D11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>باتنة</w:t>
      </w:r>
      <w:proofErr w:type="spellEnd"/>
      <w:r w:rsidRPr="007D11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eastAsia="fr-FR"/>
        </w:rPr>
        <w:t>.</w:t>
      </w:r>
    </w:p>
    <w:p w:rsidR="005A740A" w:rsidRDefault="005A740A" w:rsidP="007D11F8">
      <w:pPr>
        <w:bidi/>
      </w:pPr>
    </w:p>
    <w:sectPr w:rsidR="005A740A" w:rsidSect="005A7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consolat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1F8"/>
    <w:rsid w:val="005A740A"/>
    <w:rsid w:val="007D1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40A"/>
  </w:style>
  <w:style w:type="paragraph" w:styleId="Titre3">
    <w:name w:val="heading 3"/>
    <w:basedOn w:val="Normal"/>
    <w:link w:val="Titre3Car"/>
    <w:uiPriority w:val="9"/>
    <w:qFormat/>
    <w:rsid w:val="007D11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7D11F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D11F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D11F8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2020-02-02T16:10:00Z</dcterms:created>
  <dcterms:modified xsi:type="dcterms:W3CDTF">2020-02-02T16:11:00Z</dcterms:modified>
</cp:coreProperties>
</file>