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b/>
          <w:bCs/>
          <w:color w:val="222222"/>
          <w:sz w:val="36"/>
          <w:szCs w:val="36"/>
          <w:rtl/>
        </w:rPr>
        <w:t>- تعريف السياسة المقارنة</w:t>
      </w:r>
      <w:r w:rsidRPr="00E45386">
        <w:rPr>
          <w:rFonts w:ascii="Traditional Arabic" w:hAnsi="Traditional Arabic" w:cs="Traditional Arabic"/>
          <w:b/>
          <w:bCs/>
          <w:color w:val="222222"/>
          <w:sz w:val="32"/>
          <w:szCs w:val="32"/>
        </w:rPr>
        <w:t>:</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هي أحد فروع</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علم السياسة</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الذي يهتم بدراسة أنماط</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الحكومات</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في عصرنا الحاضر، إلا أن تحديد المجال للحكومات</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المقارنة</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على وجه الدقة تعترضه صعوبتان أساسيت</w:t>
      </w:r>
      <w:r>
        <w:rPr>
          <w:rFonts w:ascii="Traditional Arabic" w:hAnsi="Traditional Arabic" w:cs="Traditional Arabic" w:hint="cs"/>
          <w:color w:val="222222"/>
          <w:sz w:val="32"/>
          <w:szCs w:val="32"/>
          <w:rtl/>
        </w:rPr>
        <w:t>ا</w:t>
      </w:r>
      <w:r>
        <w:rPr>
          <w:rFonts w:ascii="Traditional Arabic" w:hAnsi="Traditional Arabic" w:cs="Traditional Arabic"/>
          <w:color w:val="222222"/>
          <w:sz w:val="32"/>
          <w:szCs w:val="32"/>
          <w:rtl/>
        </w:rPr>
        <w:t>ن</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Pr>
          <w:rFonts w:ascii="Traditional Arabic" w:hAnsi="Traditional Arabic" w:cs="Traditional Arabic" w:hint="cs"/>
          <w:sz w:val="32"/>
          <w:szCs w:val="32"/>
          <w:rtl/>
        </w:rPr>
        <w:t>الصعوبة الأولى</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تتصل بصعوبة</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الدراسة</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وماهية</w:t>
      </w:r>
      <w:r w:rsidRPr="00E45386">
        <w:rPr>
          <w:rStyle w:val="apple-converted-space"/>
          <w:rFonts w:ascii="Traditional Arabic" w:hAnsi="Traditional Arabic" w:cs="Traditional Arabic"/>
          <w:color w:val="222222"/>
          <w:sz w:val="32"/>
          <w:szCs w:val="32"/>
        </w:rPr>
        <w:t> </w:t>
      </w:r>
      <w:r w:rsidRPr="00C36FE2">
        <w:rPr>
          <w:rFonts w:ascii="Traditional Arabic" w:hAnsi="Traditional Arabic" w:cs="Traditional Arabic" w:hint="cs"/>
          <w:sz w:val="32"/>
          <w:szCs w:val="32"/>
          <w:rtl/>
        </w:rPr>
        <w:t>ال</w:t>
      </w:r>
      <w:r>
        <w:rPr>
          <w:rFonts w:ascii="Traditional Arabic" w:hAnsi="Traditional Arabic" w:cs="Traditional Arabic" w:hint="cs"/>
          <w:sz w:val="32"/>
          <w:szCs w:val="32"/>
          <w:rtl/>
        </w:rPr>
        <w:t>أعمال</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التي تشكل</w:t>
      </w:r>
      <w:r w:rsidRPr="00E45386">
        <w:rPr>
          <w:rStyle w:val="apple-converted-space"/>
          <w:rFonts w:ascii="Traditional Arabic" w:hAnsi="Traditional Arabic" w:cs="Traditional Arabic"/>
          <w:color w:val="222222"/>
          <w:sz w:val="32"/>
          <w:szCs w:val="32"/>
        </w:rPr>
        <w:t> </w:t>
      </w:r>
      <w:r>
        <w:rPr>
          <w:rFonts w:ascii="Traditional Arabic" w:hAnsi="Traditional Arabic" w:cs="Traditional Arabic" w:hint="cs"/>
          <w:sz w:val="32"/>
          <w:szCs w:val="32"/>
          <w:rtl/>
        </w:rPr>
        <w:t>ج</w:t>
      </w:r>
      <w:r w:rsidRPr="00E45386">
        <w:rPr>
          <w:rFonts w:ascii="Traditional Arabic" w:hAnsi="Traditional Arabic" w:cs="Traditional Arabic"/>
          <w:sz w:val="32"/>
          <w:szCs w:val="32"/>
          <w:rtl/>
        </w:rPr>
        <w:t>وهر النشاط الحكومي</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Pr>
          <w:rFonts w:ascii="Traditional Arabic" w:hAnsi="Traditional Arabic" w:cs="Traditional Arabic" w:hint="cs"/>
          <w:sz w:val="32"/>
          <w:szCs w:val="32"/>
          <w:rtl/>
        </w:rPr>
        <w:t>الصعوبة الثانية</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هي</w:t>
      </w:r>
      <w:r w:rsidRPr="00E45386">
        <w:rPr>
          <w:rStyle w:val="apple-converted-space"/>
          <w:rFonts w:ascii="Traditional Arabic" w:hAnsi="Traditional Arabic" w:cs="Traditional Arabic"/>
          <w:color w:val="222222"/>
          <w:sz w:val="32"/>
          <w:szCs w:val="32"/>
        </w:rPr>
        <w:t> </w:t>
      </w:r>
      <w:r w:rsidRPr="00C36FE2">
        <w:rPr>
          <w:rFonts w:ascii="Traditional Arabic" w:hAnsi="Traditional Arabic" w:cs="Traditional Arabic" w:hint="cs"/>
          <w:sz w:val="32"/>
          <w:szCs w:val="32"/>
          <w:rtl/>
        </w:rPr>
        <w:t>ال</w:t>
      </w:r>
      <w:r>
        <w:rPr>
          <w:rFonts w:ascii="Traditional Arabic" w:hAnsi="Traditional Arabic" w:cs="Traditional Arabic" w:hint="cs"/>
          <w:sz w:val="32"/>
          <w:szCs w:val="32"/>
          <w:rtl/>
        </w:rPr>
        <w:t>أهم</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فإنها تتصل بعلاقة بين</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القيم</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من ناحية وبين</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النشاط الحكومي</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من ناحية أخرى، وذلك باعتبار أن لكل</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hint="cs"/>
          <w:sz w:val="32"/>
          <w:szCs w:val="32"/>
          <w:rtl/>
        </w:rPr>
        <w:t>حك</w:t>
      </w:r>
      <w:r>
        <w:rPr>
          <w:rFonts w:ascii="Traditional Arabic" w:hAnsi="Traditional Arabic" w:cs="Traditional Arabic" w:hint="cs"/>
          <w:sz w:val="32"/>
          <w:szCs w:val="32"/>
          <w:rtl/>
        </w:rPr>
        <w:t>ومة</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من واقع ميراثها التاريخي شيئا من</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الخصوصية</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يجعل تنميط</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الحكومات</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وتصنيفها محلا للتساؤل</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ومن واقع هذا</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hint="cs"/>
          <w:sz w:val="32"/>
          <w:szCs w:val="32"/>
          <w:rtl/>
        </w:rPr>
        <w:t>الا</w:t>
      </w:r>
      <w:r>
        <w:rPr>
          <w:rFonts w:ascii="Traditional Arabic" w:hAnsi="Traditional Arabic" w:cs="Traditional Arabic" w:hint="cs"/>
          <w:sz w:val="32"/>
          <w:szCs w:val="32"/>
          <w:rtl/>
        </w:rPr>
        <w:t>ختلاف</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في تحديد معنى</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المصطلح</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ودلالته يمكن</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التمييز</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بين مستويين تحليلين أساسيين في</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hint="cs"/>
          <w:sz w:val="32"/>
          <w:szCs w:val="32"/>
          <w:rtl/>
        </w:rPr>
        <w:t>نط</w:t>
      </w:r>
      <w:r>
        <w:rPr>
          <w:rFonts w:ascii="Traditional Arabic" w:hAnsi="Traditional Arabic" w:cs="Traditional Arabic" w:hint="cs"/>
          <w:sz w:val="32"/>
          <w:szCs w:val="32"/>
          <w:rtl/>
        </w:rPr>
        <w:t>اق</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السياسات المقارنة</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المستوى الأول</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الأفقي</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مقارنة نشاط الحكومة داخل</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المجتمع</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بنشاطات مجموعة وحدات الحكم المحلي وربما ببعض</w:t>
      </w:r>
      <w:r w:rsidRPr="00E45386">
        <w:rPr>
          <w:rStyle w:val="apple-converted-space"/>
          <w:rFonts w:ascii="Traditional Arabic" w:hAnsi="Traditional Arabic" w:cs="Traditional Arabic"/>
          <w:color w:val="222222"/>
          <w:sz w:val="32"/>
          <w:szCs w:val="32"/>
        </w:rPr>
        <w:t> </w:t>
      </w:r>
      <w:r>
        <w:rPr>
          <w:rFonts w:ascii="Traditional Arabic" w:hAnsi="Traditional Arabic" w:cs="Traditional Arabic" w:hint="cs"/>
          <w:sz w:val="32"/>
          <w:szCs w:val="32"/>
          <w:rtl/>
        </w:rPr>
        <w:t>الوحدات الأصغر</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مثل</w:t>
      </w:r>
      <w:r w:rsidRPr="00E45386">
        <w:rPr>
          <w:rStyle w:val="apple-converted-space"/>
          <w:rFonts w:ascii="Traditional Arabic" w:hAnsi="Traditional Arabic" w:cs="Traditional Arabic"/>
          <w:color w:val="222222"/>
          <w:sz w:val="32"/>
          <w:szCs w:val="32"/>
        </w:rPr>
        <w:t> </w:t>
      </w:r>
      <w:r>
        <w:rPr>
          <w:rFonts w:ascii="Traditional Arabic" w:hAnsi="Traditional Arabic" w:cs="Traditional Arabic" w:hint="cs"/>
          <w:sz w:val="32"/>
          <w:szCs w:val="32"/>
          <w:rtl/>
        </w:rPr>
        <w:t>اتحادات التجار والشركات والكنائس</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التي تتفق مع الحكومة في</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مضمون</w:t>
      </w:r>
      <w:r w:rsidRPr="00E45386">
        <w:rPr>
          <w:rStyle w:val="apple-converted-space"/>
          <w:rFonts w:ascii="Traditional Arabic" w:hAnsi="Traditional Arabic" w:cs="Traditional Arabic"/>
          <w:color w:val="222222"/>
          <w:sz w:val="32"/>
          <w:szCs w:val="32"/>
        </w:rPr>
        <w:t> </w:t>
      </w:r>
      <w:r w:rsidRPr="00E45386">
        <w:rPr>
          <w:rFonts w:ascii="Traditional Arabic" w:hAnsi="Traditional Arabic" w:cs="Traditional Arabic"/>
          <w:color w:val="222222"/>
          <w:sz w:val="32"/>
          <w:szCs w:val="32"/>
          <w:rtl/>
        </w:rPr>
        <w:t>وليس في</w:t>
      </w:r>
      <w:r w:rsidRPr="00E45386">
        <w:rPr>
          <w:rStyle w:val="apple-converted-space"/>
          <w:rFonts w:ascii="Traditional Arabic" w:hAnsi="Traditional Arabic" w:cs="Traditional Arabic"/>
          <w:color w:val="222222"/>
          <w:sz w:val="32"/>
          <w:szCs w:val="32"/>
        </w:rPr>
        <w:t> </w:t>
      </w:r>
      <w:r>
        <w:rPr>
          <w:rFonts w:ascii="Traditional Arabic" w:hAnsi="Traditional Arabic" w:cs="Traditional Arabic" w:hint="cs"/>
          <w:sz w:val="32"/>
          <w:szCs w:val="32"/>
          <w:rtl/>
        </w:rPr>
        <w:t>حجم النشاطات</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المستوى الثاني</w:t>
      </w:r>
      <w:r>
        <w:rPr>
          <w:rFonts w:ascii="Traditional Arabic" w:hAnsi="Traditional Arabic" w:cs="Traditional Arabic" w:hint="cs"/>
          <w:color w:val="222222"/>
          <w:sz w:val="32"/>
          <w:szCs w:val="32"/>
          <w:rtl/>
        </w:rPr>
        <w:t xml:space="preserve"> </w:t>
      </w:r>
      <w:r>
        <w:rPr>
          <w:rFonts w:ascii="Traditional Arabic" w:hAnsi="Traditional Arabic" w:cs="Traditional Arabic" w:hint="cs"/>
          <w:sz w:val="32"/>
          <w:szCs w:val="32"/>
          <w:rtl/>
        </w:rPr>
        <w:t>الرأسي</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وهذا المستوى يعتمد على أسلوبين</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Pr>
          <w:rFonts w:ascii="Traditional Arabic" w:hAnsi="Traditional Arabic" w:cs="Traditional Arabic" w:hint="cs"/>
          <w:color w:val="222222"/>
          <w:sz w:val="32"/>
          <w:szCs w:val="32"/>
          <w:rtl/>
        </w:rPr>
        <w:t>أ</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مقارنة تطور نفس الحكومة عبر فترات</w:t>
      </w:r>
      <w:r>
        <w:rPr>
          <w:rFonts w:ascii="Traditional Arabic" w:hAnsi="Traditional Arabic" w:cs="Traditional Arabic" w:hint="cs"/>
          <w:sz w:val="32"/>
          <w:szCs w:val="32"/>
          <w:rtl/>
        </w:rPr>
        <w:t xml:space="preserve"> تاريخية</w:t>
      </w:r>
      <w:r w:rsidRPr="00E45386">
        <w:rPr>
          <w:rFonts w:ascii="Traditional Arabic" w:hAnsi="Traditional Arabic" w:cs="Traditional Arabic"/>
          <w:color w:val="222222"/>
          <w:sz w:val="32"/>
          <w:szCs w:val="32"/>
          <w:rtl/>
        </w:rPr>
        <w:t>، وقد سيطر هذا النوع من التحليل بالفعل على دراسة السياسات المقارنة زمنا طويلا يكشف عن أوزان المتغيرات المختلفة في تأثير على النشاط الحكومي ودرجة استمرارية هذا التأثير</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Pr>
          <w:rFonts w:ascii="Traditional Arabic" w:hAnsi="Traditional Arabic" w:cs="Traditional Arabic" w:hint="cs"/>
          <w:color w:val="222222"/>
          <w:sz w:val="32"/>
          <w:szCs w:val="32"/>
          <w:rtl/>
        </w:rPr>
        <w:t>ب</w:t>
      </w:r>
      <w:r w:rsidRPr="00E45386">
        <w:rPr>
          <w:rFonts w:ascii="Traditional Arabic" w:hAnsi="Traditional Arabic" w:cs="Traditional Arabic"/>
          <w:color w:val="222222"/>
          <w:sz w:val="32"/>
          <w:szCs w:val="32"/>
        </w:rPr>
        <w:t xml:space="preserve">- </w:t>
      </w:r>
      <w:r w:rsidRPr="00E45386">
        <w:rPr>
          <w:rFonts w:ascii="Traditional Arabic" w:hAnsi="Traditional Arabic" w:cs="Traditional Arabic"/>
          <w:color w:val="222222"/>
          <w:sz w:val="32"/>
          <w:szCs w:val="32"/>
          <w:rtl/>
        </w:rPr>
        <w:t>مقارنة مختلف حكومات</w:t>
      </w:r>
      <w:r>
        <w:rPr>
          <w:rFonts w:ascii="Traditional Arabic" w:hAnsi="Traditional Arabic" w:cs="Traditional Arabic" w:hint="cs"/>
          <w:sz w:val="32"/>
          <w:szCs w:val="32"/>
          <w:rtl/>
        </w:rPr>
        <w:t xml:space="preserve"> العالم المعاصر</w:t>
      </w:r>
      <w:r w:rsidRPr="00E45386">
        <w:rPr>
          <w:rFonts w:ascii="Traditional Arabic" w:hAnsi="Traditional Arabic" w:cs="Traditional Arabic"/>
          <w:color w:val="222222"/>
          <w:sz w:val="32"/>
          <w:szCs w:val="32"/>
          <w:rtl/>
        </w:rPr>
        <w:t>، وفي هذا استخدمت معايير شديدة الاختلاف</w:t>
      </w:r>
      <w:r w:rsidRPr="00E45386">
        <w:rPr>
          <w:rFonts w:ascii="Traditional Arabic" w:hAnsi="Traditional Arabic" w:cs="Traditional Arabic"/>
          <w:color w:val="222222"/>
          <w:sz w:val="32"/>
          <w:szCs w:val="32"/>
        </w:rPr>
        <w:t>.</w:t>
      </w:r>
    </w:p>
    <w:p w:rsidR="005E31B1"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tl/>
        </w:rPr>
      </w:pPr>
      <w:r w:rsidRPr="00E45386">
        <w:rPr>
          <w:rFonts w:ascii="Traditional Arabic" w:hAnsi="Traditional Arabic" w:cs="Traditional Arabic"/>
          <w:color w:val="222222"/>
          <w:sz w:val="32"/>
          <w:szCs w:val="32"/>
          <w:rtl/>
        </w:rPr>
        <w:t>ولئن كانت تلك هي أبرز نماذج تصنيف الحكومات على مستوى العالم، إلا أنها ليست الوحيدة، حيث تعددت محاولات التصنيف و</w:t>
      </w:r>
      <w:r>
        <w:rPr>
          <w:rFonts w:ascii="Traditional Arabic" w:hAnsi="Traditional Arabic" w:cs="Traditional Arabic" w:hint="cs"/>
          <w:color w:val="222222"/>
          <w:sz w:val="32"/>
          <w:szCs w:val="32"/>
          <w:rtl/>
        </w:rPr>
        <w:t xml:space="preserve"> </w:t>
      </w:r>
      <w:r w:rsidRPr="00E45386">
        <w:rPr>
          <w:rFonts w:ascii="Traditional Arabic" w:hAnsi="Traditional Arabic" w:cs="Traditional Arabic"/>
          <w:color w:val="222222"/>
          <w:sz w:val="32"/>
          <w:szCs w:val="32"/>
          <w:rtl/>
        </w:rPr>
        <w:t>النمذجة باختلاف المعايير المستخدمة وهي شديدة التنوع، لكن الملاحظ أن هذا الأسلوب في الدراسة المقارنة تواجهه الصعوبة نفسها الخاصة بجمع المعلومات المتعمقة</w:t>
      </w:r>
      <w:r w:rsidRPr="00E45386">
        <w:rPr>
          <w:rFonts w:ascii="Traditional Arabic" w:hAnsi="Traditional Arabic" w:cs="Traditional Arabic"/>
          <w:color w:val="222222"/>
          <w:sz w:val="32"/>
          <w:szCs w:val="32"/>
        </w:rPr>
        <w:t>.</w:t>
      </w:r>
    </w:p>
    <w:p w:rsidR="005E31B1"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tl/>
        </w:rPr>
      </w:pP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b/>
          <w:bCs/>
          <w:color w:val="222222"/>
          <w:sz w:val="32"/>
          <w:szCs w:val="32"/>
          <w:rtl/>
        </w:rPr>
        <w:t>‌</w:t>
      </w:r>
      <w:r>
        <w:rPr>
          <w:rFonts w:ascii="Traditional Arabic" w:hAnsi="Traditional Arabic" w:cs="Traditional Arabic" w:hint="cs"/>
          <w:b/>
          <w:bCs/>
          <w:color w:val="222222"/>
          <w:sz w:val="32"/>
          <w:szCs w:val="32"/>
          <w:rtl/>
        </w:rPr>
        <w:t>2</w:t>
      </w:r>
      <w:r w:rsidRPr="00E45386">
        <w:rPr>
          <w:rFonts w:ascii="Traditional Arabic" w:hAnsi="Traditional Arabic" w:cs="Traditional Arabic"/>
          <w:b/>
          <w:bCs/>
          <w:color w:val="222222"/>
          <w:sz w:val="32"/>
          <w:szCs w:val="32"/>
          <w:rtl/>
        </w:rPr>
        <w:t>- ماهية السياسة المقارنة</w:t>
      </w:r>
      <w:r w:rsidRPr="00E45386">
        <w:rPr>
          <w:rFonts w:ascii="Traditional Arabic" w:hAnsi="Traditional Arabic" w:cs="Traditional Arabic"/>
          <w:b/>
          <w:bCs/>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هناك مصطلحات أربعة يستخدمونها العلماء بالسياسة كمفردات: الحكومات المقارنة، والسياسة المقارنة، والتحليل المقارن، والمنهج المقارن</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فالمقررات الدراسية والمصنفات العلمية والتصنيفات المكتبية تستعمل أي منها دون أبداء السبب</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lastRenderedPageBreak/>
        <w:t>وبالتحليل المقارن جزء هاما من أية دراسة عملية في أي علم من العلوم، وبالتالي فهو علم السياسة بمثابة جوهر التفسير السياسي</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وهكذا يتضح أن مفهوم السياسة المقارنة يستوعب المفاهيم الثلاثة الأخرى فضلا عن أنه أكثرها دلالة في التعبير عن حقل النظم السياسية المقارنة</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ويختلف الرأي حول حدود علم السياسة المقارنة. فهناك من يعتبره قلب علم السياسة المعاصرة ويطالب بتوسيع نطاقه ليشمل أكبر عدد من الدول، وبالتالي من المؤسسات والتفاعلات السياسية التي تخضع للمقارنة</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 xml:space="preserve">فذهبوا يسلكون معها النظم السياسية في الدول </w:t>
      </w:r>
      <w:r w:rsidRPr="00E45386">
        <w:rPr>
          <w:rFonts w:ascii="Traditional Arabic" w:hAnsi="Traditional Arabic" w:cs="Traditional Arabic" w:hint="cs"/>
          <w:color w:val="222222"/>
          <w:sz w:val="32"/>
          <w:szCs w:val="32"/>
          <w:rtl/>
        </w:rPr>
        <w:t>الإسكندنافية</w:t>
      </w:r>
      <w:r w:rsidRPr="00E45386">
        <w:rPr>
          <w:rFonts w:ascii="Traditional Arabic" w:hAnsi="Traditional Arabic" w:cs="Traditional Arabic"/>
          <w:color w:val="222222"/>
          <w:sz w:val="32"/>
          <w:szCs w:val="32"/>
          <w:rtl/>
        </w:rPr>
        <w:t xml:space="preserve"> وشرق أوروبا وبلدان العالم الثالث</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فإذا كانت البرلمانات، فلماذا لا تكون الأحزاب؟ وإذا كانت الأحزاب فلماذا لا تكون القيادة وأساليب التجنيد السياسي؟</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كذلك فقد زعموا أن قصر نطاق العلم مقدما على المؤسسات بذاتها في دول معينة يضيق نطاق المقارنة بل ويحد من إمكانية التفسير، فمثلا قد يكون الحزب في دولة ما متغيرا مستقلا، وفي أخرى متغيرا تابع</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على أن هناك فريقا آخر يحذر من توسيع نطاق السياسة المقارنة لحد شموله علم السياسة ذاته، ويطالب بوضع حدود لعلم السياسة المقارنة. وهذا الانقسام يتحصل بموقفين</w:t>
      </w:r>
      <w:r w:rsidRPr="00E45386">
        <w:rPr>
          <w:rFonts w:ascii="Traditional Arabic" w:hAnsi="Traditional Arabic" w:cs="Traditional Arabic"/>
          <w:color w:val="222222"/>
          <w:sz w:val="32"/>
          <w:szCs w:val="32"/>
        </w:rPr>
        <w:t>:</w:t>
      </w:r>
    </w:p>
    <w:p w:rsidR="005E31B1" w:rsidRPr="00E45386"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Pr>
      </w:pPr>
      <w:r w:rsidRPr="00E45386">
        <w:rPr>
          <w:rFonts w:ascii="Traditional Arabic" w:hAnsi="Traditional Arabic" w:cs="Traditional Arabic"/>
          <w:color w:val="222222"/>
          <w:sz w:val="32"/>
          <w:szCs w:val="32"/>
          <w:rtl/>
        </w:rPr>
        <w:t>الأول: أنه لا يجوز التوسع في فهم محتوى السياسة المقارنة إلى الحد الذي تختفي معه الفواصل بينهما وبين علم السياسة، ثم بينهما وبين فروعه الأخرى كالعلاقات الدولية والنظرية السياسية</w:t>
      </w:r>
      <w:r w:rsidRPr="00E45386">
        <w:rPr>
          <w:rFonts w:ascii="Traditional Arabic" w:hAnsi="Traditional Arabic" w:cs="Traditional Arabic"/>
          <w:color w:val="222222"/>
          <w:sz w:val="32"/>
          <w:szCs w:val="32"/>
        </w:rPr>
        <w:t>.</w:t>
      </w:r>
    </w:p>
    <w:p w:rsidR="005E31B1" w:rsidRDefault="005E31B1" w:rsidP="005E31B1">
      <w:pPr>
        <w:pStyle w:val="NormalWeb"/>
        <w:shd w:val="clear" w:color="auto" w:fill="FFFFFF"/>
        <w:bidi/>
        <w:spacing w:before="120" w:beforeAutospacing="0" w:after="120" w:afterAutospacing="0"/>
        <w:jc w:val="both"/>
        <w:rPr>
          <w:rFonts w:ascii="Traditional Arabic" w:hAnsi="Traditional Arabic" w:cs="Traditional Arabic" w:hint="cs"/>
          <w:color w:val="222222"/>
          <w:sz w:val="32"/>
          <w:szCs w:val="32"/>
          <w:rtl/>
        </w:rPr>
      </w:pPr>
      <w:r w:rsidRPr="00E45386">
        <w:rPr>
          <w:rFonts w:ascii="Traditional Arabic" w:hAnsi="Traditional Arabic" w:cs="Traditional Arabic"/>
          <w:color w:val="222222"/>
          <w:sz w:val="32"/>
          <w:szCs w:val="32"/>
          <w:rtl/>
        </w:rPr>
        <w:t>الثاني: وجوب التوسع في محتوى السياسة المقارنة بوصفها تحليلا مقارنا للنظم السياسية وذلك بزيادة كم ونوعية النظم السياسية الرئيسية والفرعية موضع الدراسة توخيا لفهم أعمق وأشمل للمؤسسات السياسية وأنماط التفاعل السياسي في مختلف الدول</w:t>
      </w:r>
      <w:r w:rsidRPr="00E45386">
        <w:rPr>
          <w:rFonts w:ascii="Traditional Arabic" w:hAnsi="Traditional Arabic" w:cs="Traditional Arabic"/>
          <w:color w:val="222222"/>
          <w:sz w:val="32"/>
          <w:szCs w:val="32"/>
        </w:rPr>
        <w:t>.</w:t>
      </w:r>
    </w:p>
    <w:p w:rsidR="005324C8" w:rsidRDefault="005324C8" w:rsidP="005324C8">
      <w:pPr>
        <w:pStyle w:val="NormalWeb"/>
        <w:shd w:val="clear" w:color="auto" w:fill="FFFFFF"/>
        <w:bidi/>
        <w:spacing w:before="120" w:beforeAutospacing="0" w:after="120" w:afterAutospacing="0"/>
        <w:jc w:val="both"/>
        <w:rPr>
          <w:rFonts w:ascii="Traditional Arabic" w:hAnsi="Traditional Arabic" w:cs="Traditional Arabic" w:hint="cs"/>
          <w:color w:val="222222"/>
          <w:sz w:val="32"/>
          <w:szCs w:val="32"/>
          <w:rtl/>
        </w:rPr>
      </w:pPr>
      <w:bookmarkStart w:id="0" w:name="_GoBack"/>
      <w:r w:rsidRPr="005324C8">
        <w:rPr>
          <w:rFonts w:ascii="Traditional Arabic" w:hAnsi="Traditional Arabic" w:cs="Traditional Arabic"/>
          <w:color w:val="222222"/>
          <w:sz w:val="32"/>
          <w:szCs w:val="32"/>
          <w:rtl/>
        </w:rPr>
        <w:t>&lt;</w:t>
      </w:r>
      <w:proofErr w:type="spellStart"/>
      <w:r w:rsidRPr="005324C8">
        <w:rPr>
          <w:rFonts w:ascii="Traditional Arabic" w:hAnsi="Traditional Arabic" w:cs="Traditional Arabic"/>
          <w:color w:val="222222"/>
          <w:sz w:val="32"/>
          <w:szCs w:val="32"/>
          <w:lang w:val="en-GB"/>
        </w:rPr>
        <w:t>iframe</w:t>
      </w:r>
      <w:proofErr w:type="spellEnd"/>
      <w:r w:rsidRPr="005324C8">
        <w:rPr>
          <w:rFonts w:ascii="Traditional Arabic" w:hAnsi="Traditional Arabic" w:cs="Traditional Arabic"/>
          <w:color w:val="222222"/>
          <w:sz w:val="32"/>
          <w:szCs w:val="32"/>
          <w:lang w:val="en-GB"/>
        </w:rPr>
        <w:t xml:space="preserve"> width="560" height="315" </w:t>
      </w:r>
      <w:proofErr w:type="spellStart"/>
      <w:r w:rsidRPr="005324C8">
        <w:rPr>
          <w:rFonts w:ascii="Traditional Arabic" w:hAnsi="Traditional Arabic" w:cs="Traditional Arabic"/>
          <w:color w:val="222222"/>
          <w:sz w:val="32"/>
          <w:szCs w:val="32"/>
          <w:lang w:val="en-GB"/>
        </w:rPr>
        <w:t>src</w:t>
      </w:r>
      <w:proofErr w:type="spellEnd"/>
      <w:r w:rsidRPr="005324C8">
        <w:rPr>
          <w:rFonts w:ascii="Traditional Arabic" w:hAnsi="Traditional Arabic" w:cs="Traditional Arabic"/>
          <w:color w:val="222222"/>
          <w:sz w:val="32"/>
          <w:szCs w:val="32"/>
          <w:lang w:val="en-GB"/>
        </w:rPr>
        <w:t xml:space="preserve">="https://www.youtube.com/embed/PCkYVul9Boo" </w:t>
      </w:r>
      <w:proofErr w:type="spellStart"/>
      <w:r w:rsidRPr="005324C8">
        <w:rPr>
          <w:rFonts w:ascii="Traditional Arabic" w:hAnsi="Traditional Arabic" w:cs="Traditional Arabic"/>
          <w:color w:val="222222"/>
          <w:sz w:val="32"/>
          <w:szCs w:val="32"/>
          <w:lang w:val="en-GB"/>
        </w:rPr>
        <w:t>frameborder</w:t>
      </w:r>
      <w:proofErr w:type="spellEnd"/>
      <w:r w:rsidRPr="005324C8">
        <w:rPr>
          <w:rFonts w:ascii="Traditional Arabic" w:hAnsi="Traditional Arabic" w:cs="Traditional Arabic"/>
          <w:color w:val="222222"/>
          <w:sz w:val="32"/>
          <w:szCs w:val="32"/>
          <w:lang w:val="en-GB"/>
        </w:rPr>
        <w:t xml:space="preserve">="0" </w:t>
      </w:r>
      <w:proofErr w:type="spellStart"/>
      <w:r w:rsidRPr="005324C8">
        <w:rPr>
          <w:rFonts w:ascii="Traditional Arabic" w:hAnsi="Traditional Arabic" w:cs="Traditional Arabic"/>
          <w:color w:val="222222"/>
          <w:sz w:val="32"/>
          <w:szCs w:val="32"/>
          <w:lang w:val="en-GB"/>
        </w:rPr>
        <w:t>allowfullscreen</w:t>
      </w:r>
      <w:proofErr w:type="spellEnd"/>
      <w:r w:rsidRPr="005324C8">
        <w:rPr>
          <w:rFonts w:ascii="Traditional Arabic" w:hAnsi="Traditional Arabic" w:cs="Traditional Arabic"/>
          <w:color w:val="222222"/>
          <w:sz w:val="32"/>
          <w:szCs w:val="32"/>
          <w:lang w:val="en-GB"/>
        </w:rPr>
        <w:t>&gt;&lt;/</w:t>
      </w:r>
      <w:proofErr w:type="spellStart"/>
      <w:r w:rsidRPr="005324C8">
        <w:rPr>
          <w:rFonts w:ascii="Traditional Arabic" w:hAnsi="Traditional Arabic" w:cs="Traditional Arabic"/>
          <w:color w:val="222222"/>
          <w:sz w:val="32"/>
          <w:szCs w:val="32"/>
          <w:lang w:val="en-GB"/>
        </w:rPr>
        <w:t>iframe</w:t>
      </w:r>
      <w:proofErr w:type="spellEnd"/>
      <w:r w:rsidRPr="005324C8">
        <w:rPr>
          <w:rFonts w:ascii="Traditional Arabic" w:hAnsi="Traditional Arabic" w:cs="Traditional Arabic"/>
          <w:color w:val="222222"/>
          <w:sz w:val="32"/>
          <w:szCs w:val="32"/>
          <w:rtl/>
        </w:rPr>
        <w:t>&gt;</w:t>
      </w:r>
    </w:p>
    <w:bookmarkEnd w:id="0"/>
    <w:p w:rsidR="005324C8" w:rsidRDefault="005324C8" w:rsidP="005324C8">
      <w:pPr>
        <w:pStyle w:val="NormalWeb"/>
        <w:shd w:val="clear" w:color="auto" w:fill="FFFFFF"/>
        <w:bidi/>
        <w:spacing w:before="120" w:beforeAutospacing="0" w:after="120" w:afterAutospacing="0"/>
        <w:jc w:val="both"/>
        <w:rPr>
          <w:rFonts w:ascii="Traditional Arabic" w:hAnsi="Traditional Arabic" w:cs="Traditional Arabic" w:hint="cs"/>
          <w:color w:val="222222"/>
          <w:sz w:val="32"/>
          <w:szCs w:val="32"/>
          <w:rtl/>
        </w:rPr>
      </w:pPr>
    </w:p>
    <w:p w:rsidR="005324C8" w:rsidRDefault="005324C8" w:rsidP="005324C8">
      <w:pPr>
        <w:pStyle w:val="NormalWeb"/>
        <w:shd w:val="clear" w:color="auto" w:fill="FFFFFF"/>
        <w:bidi/>
        <w:spacing w:before="120" w:beforeAutospacing="0" w:after="120" w:afterAutospacing="0"/>
        <w:jc w:val="both"/>
        <w:rPr>
          <w:rFonts w:ascii="Traditional Arabic" w:hAnsi="Traditional Arabic" w:cs="Traditional Arabic" w:hint="cs"/>
          <w:color w:val="222222"/>
          <w:sz w:val="32"/>
          <w:szCs w:val="32"/>
          <w:rtl/>
        </w:rPr>
      </w:pPr>
    </w:p>
    <w:p w:rsidR="005324C8" w:rsidRDefault="005324C8" w:rsidP="005324C8">
      <w:pPr>
        <w:pStyle w:val="NormalWeb"/>
        <w:shd w:val="clear" w:color="auto" w:fill="FFFFFF"/>
        <w:bidi/>
        <w:spacing w:before="120" w:beforeAutospacing="0" w:after="120" w:afterAutospacing="0"/>
        <w:jc w:val="both"/>
        <w:rPr>
          <w:rFonts w:ascii="Traditional Arabic" w:hAnsi="Traditional Arabic" w:cs="Traditional Arabic" w:hint="cs"/>
          <w:color w:val="222222"/>
          <w:sz w:val="32"/>
          <w:szCs w:val="32"/>
          <w:rtl/>
        </w:rPr>
      </w:pPr>
    </w:p>
    <w:p w:rsidR="005324C8" w:rsidRDefault="005324C8" w:rsidP="005324C8">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tl/>
        </w:rPr>
      </w:pPr>
    </w:p>
    <w:p w:rsidR="005E31B1"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tl/>
        </w:rPr>
      </w:pPr>
    </w:p>
    <w:p w:rsidR="005E31B1" w:rsidRDefault="005E31B1" w:rsidP="005E31B1">
      <w:pPr>
        <w:pStyle w:val="NormalWeb"/>
        <w:shd w:val="clear" w:color="auto" w:fill="FFFFFF"/>
        <w:bidi/>
        <w:spacing w:before="120" w:beforeAutospacing="0" w:after="120" w:afterAutospacing="0"/>
        <w:jc w:val="both"/>
        <w:rPr>
          <w:rFonts w:ascii="Traditional Arabic" w:hAnsi="Traditional Arabic" w:cs="Traditional Arabic"/>
          <w:color w:val="222222"/>
          <w:sz w:val="32"/>
          <w:szCs w:val="32"/>
          <w:rtl/>
        </w:rPr>
      </w:pPr>
    </w:p>
    <w:p w:rsidR="005532B4" w:rsidRPr="005324C8" w:rsidRDefault="005532B4" w:rsidP="005E31B1">
      <w:pPr>
        <w:bidi/>
        <w:rPr>
          <w:rFonts w:ascii="Traditional Arabic" w:hAnsi="Traditional Arabic" w:cs="Traditional Arabic"/>
          <w:sz w:val="32"/>
          <w:szCs w:val="32"/>
          <w:lang w:val="en-GB"/>
        </w:rPr>
      </w:pPr>
    </w:p>
    <w:sectPr w:rsidR="005532B4" w:rsidRPr="00532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9"/>
    <w:rsid w:val="005324C8"/>
    <w:rsid w:val="005532B4"/>
    <w:rsid w:val="005E31B1"/>
    <w:rsid w:val="006E1CC9"/>
    <w:rsid w:val="008158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31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31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E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2690</Characters>
  <Application>Microsoft Office Word</Application>
  <DocSecurity>0</DocSecurity>
  <Lines>22</Lines>
  <Paragraphs>6</Paragraphs>
  <ScaleCrop>false</ScaleCrop>
  <Company>Ahmed-Under</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saadoun n</dc:creator>
  <cp:keywords/>
  <dc:description/>
  <cp:lastModifiedBy>saadoun n</cp:lastModifiedBy>
  <cp:revision>4</cp:revision>
  <dcterms:created xsi:type="dcterms:W3CDTF">2017-04-19T15:40:00Z</dcterms:created>
  <dcterms:modified xsi:type="dcterms:W3CDTF">2017-04-20T20:07:00Z</dcterms:modified>
</cp:coreProperties>
</file>