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EC" w:rsidRPr="00562CEC" w:rsidRDefault="00562CEC" w:rsidP="00562CEC">
      <w:pPr>
        <w:shd w:val="clear" w:color="auto" w:fill="FFFFFF"/>
        <w:bidi/>
        <w:spacing w:after="0" w:line="240" w:lineRule="auto"/>
        <w:jc w:val="lowKashida"/>
        <w:outlineLvl w:val="2"/>
        <w:rPr>
          <w:rFonts w:ascii="Sakkal Majalla" w:eastAsia="Times New Roman" w:hAnsi="Sakkal Majalla" w:cs="Sakkal Majalla"/>
          <w:b/>
          <w:bCs/>
          <w:color w:val="333333"/>
          <w:sz w:val="32"/>
          <w:szCs w:val="32"/>
          <w:lang w:eastAsia="fr-FR"/>
        </w:rPr>
      </w:pPr>
      <w:r w:rsidRPr="00562CEC">
        <w:rPr>
          <w:rFonts w:ascii="Sakkal Majalla" w:eastAsia="Times New Roman" w:hAnsi="Sakkal Majalla" w:cs="Sakkal Majalla"/>
          <w:b/>
          <w:bCs/>
          <w:color w:val="333333"/>
          <w:sz w:val="32"/>
          <w:szCs w:val="32"/>
          <w:lang w:eastAsia="fr-FR"/>
        </w:rPr>
        <w:t> </w:t>
      </w:r>
      <w:r w:rsidRPr="00562CEC">
        <w:rPr>
          <w:rFonts w:ascii="Sakkal Majalla" w:eastAsia="Times New Roman" w:hAnsi="Sakkal Majalla" w:cs="Sakkal Majalla"/>
          <w:b/>
          <w:bCs/>
          <w:color w:val="333333"/>
          <w:sz w:val="32"/>
          <w:szCs w:val="32"/>
          <w:rtl/>
          <w:lang w:eastAsia="fr-FR"/>
        </w:rPr>
        <w:t>جهود المنظمات العربية في مكافحة المخدرات</w:t>
      </w:r>
    </w:p>
    <w:p w:rsidR="00562CEC" w:rsidRPr="00562CEC" w:rsidRDefault="00562CEC" w:rsidP="00562CEC">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lang w:eastAsia="fr-FR"/>
        </w:rPr>
      </w:pPr>
      <w:r w:rsidRPr="00562CEC">
        <w:rPr>
          <w:rFonts w:ascii="Sakkal Majalla" w:eastAsia="Times New Roman" w:hAnsi="Sakkal Majalla" w:cs="Sakkal Majalla"/>
          <w:b/>
          <w:bCs/>
          <w:color w:val="333333"/>
          <w:sz w:val="32"/>
          <w:szCs w:val="32"/>
          <w:rtl/>
          <w:lang w:eastAsia="fr-FR"/>
        </w:rPr>
        <w:t>القانون العربي النموذجي الموحد للمخدرات</w:t>
      </w:r>
      <w:r w:rsidRPr="00562CEC">
        <w:rPr>
          <w:rFonts w:ascii="Sakkal Majalla" w:eastAsia="Times New Roman" w:hAnsi="Sakkal Majalla" w:cs="Sakkal Majalla"/>
          <w:b/>
          <w:bCs/>
          <w:color w:val="333333"/>
          <w:sz w:val="32"/>
          <w:szCs w:val="32"/>
          <w:lang w:eastAsia="fr-FR"/>
        </w:rPr>
        <w:t>:</w:t>
      </w:r>
      <w:r w:rsidRPr="00562CEC">
        <w:rPr>
          <w:rFonts w:ascii="Sakkal Majalla" w:eastAsia="Times New Roman" w:hAnsi="Sakkal Majalla" w:cs="Sakkal Majalla"/>
          <w:color w:val="333333"/>
          <w:sz w:val="32"/>
          <w:szCs w:val="32"/>
          <w:rtl/>
          <w:lang w:eastAsia="fr-FR"/>
        </w:rPr>
        <w:t xml:space="preserve">يعتبر هذا القانون ثمرة جهود متواصِلة، بذلتْها جامعة الدول العربية منذ تأسيس المكتب العربي لشؤون المخدرات؛ لتنظيم الإجراءات التي تتَّخِذها كلُّ دولة عربية لمكافحة إنتاج وتهريب الموادِّ المخدِّرة، وقد شارَك هذا المكتب في شُعْبة الأمم المتَّحدة للمخدِّرات، وقامت لجنةٌ منه بزيارة الدُّول المنتجة للأفيون في </w:t>
      </w:r>
      <w:proofErr w:type="spellStart"/>
      <w:r w:rsidRPr="00562CEC">
        <w:rPr>
          <w:rFonts w:ascii="Sakkal Majalla" w:eastAsia="Times New Roman" w:hAnsi="Sakkal Majalla" w:cs="Sakkal Majalla"/>
          <w:color w:val="333333"/>
          <w:sz w:val="32"/>
          <w:szCs w:val="32"/>
          <w:rtl/>
          <w:lang w:eastAsia="fr-FR"/>
        </w:rPr>
        <w:t>الشرقين</w:t>
      </w:r>
      <w:proofErr w:type="spellEnd"/>
      <w:r w:rsidRPr="00562CEC">
        <w:rPr>
          <w:rFonts w:ascii="Sakkal Majalla" w:eastAsia="Times New Roman" w:hAnsi="Sakkal Majalla" w:cs="Sakkal Majalla"/>
          <w:color w:val="333333"/>
          <w:sz w:val="32"/>
          <w:szCs w:val="32"/>
          <w:rtl/>
          <w:lang w:eastAsia="fr-FR"/>
        </w:rPr>
        <w:t xml:space="preserve"> الأدنى والمتوسط (أفغانستان - إيران - باكستان - تركيا)، وطلبت منها التنسيقَ مع المكتب وإبلاغها عن الرعايا المتورِّطين في التعامل مع المخدرات، كما قام مدير المكتب بزيارة اليمن، والاطلاع على أماكن زراعة القات وأسواق تجارته، وتقديم تقرير </w:t>
      </w:r>
      <w:proofErr w:type="spellStart"/>
      <w:r w:rsidRPr="00562CEC">
        <w:rPr>
          <w:rFonts w:ascii="Sakkal Majalla" w:eastAsia="Times New Roman" w:hAnsi="Sakkal Majalla" w:cs="Sakkal Majalla"/>
          <w:color w:val="333333"/>
          <w:sz w:val="32"/>
          <w:szCs w:val="32"/>
          <w:rtl/>
          <w:lang w:eastAsia="fr-FR"/>
        </w:rPr>
        <w:t>للمسؤولين</w:t>
      </w:r>
      <w:proofErr w:type="spellEnd"/>
      <w:r w:rsidRPr="00562CEC">
        <w:rPr>
          <w:rFonts w:ascii="Sakkal Majalla" w:eastAsia="Times New Roman" w:hAnsi="Sakkal Majalla" w:cs="Sakkal Majalla"/>
          <w:color w:val="333333"/>
          <w:sz w:val="32"/>
          <w:szCs w:val="32"/>
          <w:rtl/>
          <w:lang w:eastAsia="fr-FR"/>
        </w:rPr>
        <w:t xml:space="preserve"> عن مخاطر القات الصحية والاجتماعية والاقتصادية</w:t>
      </w:r>
      <w:r w:rsidRPr="00562CEC">
        <w:rPr>
          <w:rFonts w:ascii="Sakkal Majalla" w:eastAsia="Times New Roman" w:hAnsi="Sakkal Majalla" w:cs="Sakkal Majalla"/>
          <w:color w:val="333333"/>
          <w:sz w:val="32"/>
          <w:szCs w:val="32"/>
          <w:lang w:eastAsia="fr-FR"/>
        </w:rPr>
        <w:t>.</w:t>
      </w:r>
      <w:r w:rsidRPr="00562CEC">
        <w:rPr>
          <w:rFonts w:ascii="Sakkal Majalla" w:eastAsia="Times New Roman" w:hAnsi="Sakkal Majalla" w:cs="Sakkal Majalla"/>
          <w:b/>
          <w:bCs/>
          <w:color w:val="333333"/>
          <w:sz w:val="32"/>
          <w:szCs w:val="32"/>
          <w:lang w:eastAsia="fr-FR"/>
        </w:rPr>
        <w:t> </w:t>
      </w:r>
      <w:proofErr w:type="gramStart"/>
      <w:r w:rsidRPr="00562CEC">
        <w:rPr>
          <w:rFonts w:ascii="Sakkal Majalla" w:eastAsia="Times New Roman" w:hAnsi="Sakkal Majalla" w:cs="Sakkal Majalla"/>
          <w:color w:val="333333"/>
          <w:sz w:val="32"/>
          <w:szCs w:val="32"/>
          <w:rtl/>
          <w:lang w:eastAsia="fr-FR"/>
        </w:rPr>
        <w:t>كذلك</w:t>
      </w:r>
      <w:proofErr w:type="gramEnd"/>
      <w:r w:rsidRPr="00562CEC">
        <w:rPr>
          <w:rFonts w:ascii="Sakkal Majalla" w:eastAsia="Times New Roman" w:hAnsi="Sakkal Majalla" w:cs="Sakkal Majalla"/>
          <w:color w:val="333333"/>
          <w:sz w:val="32"/>
          <w:szCs w:val="32"/>
          <w:rtl/>
          <w:lang w:eastAsia="fr-FR"/>
        </w:rPr>
        <w:t xml:space="preserve"> أبدى المكتبُ قلقَه البالغ من إنتاج الحشيش وزراعته في لبنان، وقدَّم مشروعًا لاستغلال الموارد المائية في سوريا ولبنان لإنتاج زراعات أخرى تَحِل محل زراعة الحشيش.</w:t>
      </w:r>
      <w:proofErr w:type="gramStart"/>
      <w:r w:rsidRPr="00562CEC">
        <w:rPr>
          <w:rFonts w:ascii="Sakkal Majalla" w:eastAsia="Times New Roman" w:hAnsi="Sakkal Majalla" w:cs="Sakkal Majalla"/>
          <w:color w:val="333333"/>
          <w:sz w:val="32"/>
          <w:szCs w:val="32"/>
          <w:rtl/>
          <w:lang w:eastAsia="fr-FR"/>
        </w:rPr>
        <w:t>وقد</w:t>
      </w:r>
      <w:proofErr w:type="gramEnd"/>
      <w:r w:rsidRPr="00562CEC">
        <w:rPr>
          <w:rFonts w:ascii="Sakkal Majalla" w:eastAsia="Times New Roman" w:hAnsi="Sakkal Majalla" w:cs="Sakkal Majalla"/>
          <w:color w:val="333333"/>
          <w:sz w:val="32"/>
          <w:szCs w:val="32"/>
          <w:rtl/>
          <w:lang w:eastAsia="fr-FR"/>
        </w:rPr>
        <w:t xml:space="preserve"> تُوِّجت هذه الجهود باجتماع مجلس وزراء الداخلية العرب بالدار البيضاء (1986) والتصديق على القانون العربي النَّموذجي الموحَّد للمخدرات؛ ليكون دليلاً للدُّول العربية عند صياغة قوانينها الخاصة بمكافحة المخدرات وا</w:t>
      </w:r>
      <w:r>
        <w:rPr>
          <w:rFonts w:ascii="Sakkal Majalla" w:eastAsia="Times New Roman" w:hAnsi="Sakkal Majalla" w:cs="Sakkal Majalla"/>
          <w:color w:val="333333"/>
          <w:sz w:val="32"/>
          <w:szCs w:val="32"/>
          <w:rtl/>
          <w:lang w:eastAsia="fr-FR"/>
        </w:rPr>
        <w:t>لمؤثرات العقلية.يتكوَّن القانون</w:t>
      </w:r>
      <w:r>
        <w:rPr>
          <w:rFonts w:ascii="Sakkal Majalla" w:eastAsia="Times New Roman" w:hAnsi="Sakkal Majalla" w:cs="Sakkal Majalla" w:hint="cs"/>
          <w:color w:val="333333"/>
          <w:sz w:val="32"/>
          <w:szCs w:val="32"/>
          <w:rtl/>
          <w:lang w:eastAsia="fr-FR"/>
        </w:rPr>
        <w:t xml:space="preserve"> </w:t>
      </w:r>
      <w:r w:rsidRPr="00562CEC">
        <w:rPr>
          <w:rFonts w:ascii="Sakkal Majalla" w:eastAsia="Times New Roman" w:hAnsi="Sakkal Majalla" w:cs="Sakkal Majalla"/>
          <w:color w:val="333333"/>
          <w:sz w:val="32"/>
          <w:szCs w:val="32"/>
          <w:rtl/>
          <w:lang w:eastAsia="fr-FR"/>
        </w:rPr>
        <w:t>العربي النموذجي الموحد للمخدرات من تسعة فصول</w:t>
      </w:r>
      <w:r w:rsidRPr="00562CEC">
        <w:rPr>
          <w:rFonts w:ascii="Sakkal Majalla" w:eastAsia="Times New Roman" w:hAnsi="Sakkal Majalla" w:cs="Sakkal Majalla"/>
          <w:color w:val="333333"/>
          <w:sz w:val="32"/>
          <w:szCs w:val="32"/>
          <w:lang w:eastAsia="fr-FR"/>
        </w:rPr>
        <w:t>:</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lang w:eastAsia="fr-FR"/>
        </w:rPr>
      </w:pPr>
      <w:r w:rsidRPr="00562CEC">
        <w:rPr>
          <w:rFonts w:ascii="Sakkal Majalla" w:eastAsia="Times New Roman" w:hAnsi="Sakkal Majalla" w:cs="Sakkal Majalla"/>
          <w:color w:val="333333"/>
          <w:sz w:val="32"/>
          <w:szCs w:val="32"/>
          <w:rtl/>
          <w:lang w:eastAsia="fr-FR"/>
        </w:rPr>
        <w:t>يتضمَّن </w:t>
      </w:r>
      <w:r w:rsidRPr="00562CEC">
        <w:rPr>
          <w:rFonts w:ascii="Sakkal Majalla" w:eastAsia="Times New Roman" w:hAnsi="Sakkal Majalla" w:cs="Sakkal Majalla"/>
          <w:b/>
          <w:bCs/>
          <w:color w:val="333333"/>
          <w:sz w:val="32"/>
          <w:szCs w:val="32"/>
          <w:rtl/>
          <w:lang w:eastAsia="fr-FR"/>
        </w:rPr>
        <w:t>الفصل الأول</w:t>
      </w:r>
      <w:r w:rsidRPr="00562CEC">
        <w:rPr>
          <w:rFonts w:ascii="Sakkal Majalla" w:eastAsia="Times New Roman" w:hAnsi="Sakkal Majalla" w:cs="Sakkal Majalla"/>
          <w:color w:val="333333"/>
          <w:sz w:val="32"/>
          <w:szCs w:val="32"/>
          <w:rtl/>
          <w:lang w:eastAsia="fr-FR"/>
        </w:rPr>
        <w:t> التعريفَ بالألفاظ والعبارات والمصطلحات التي وردت في القانون.</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ويضع </w:t>
      </w:r>
      <w:r w:rsidRPr="00562CEC">
        <w:rPr>
          <w:rFonts w:ascii="Sakkal Majalla" w:eastAsia="Times New Roman" w:hAnsi="Sakkal Majalla" w:cs="Sakkal Majalla"/>
          <w:b/>
          <w:bCs/>
          <w:color w:val="333333"/>
          <w:sz w:val="32"/>
          <w:szCs w:val="32"/>
          <w:rtl/>
          <w:lang w:eastAsia="fr-FR"/>
        </w:rPr>
        <w:t>الفصل الثاني</w:t>
      </w:r>
      <w:r w:rsidRPr="00562CEC">
        <w:rPr>
          <w:rFonts w:ascii="Sakkal Majalla" w:eastAsia="Times New Roman" w:hAnsi="Sakkal Majalla" w:cs="Sakkal Majalla"/>
          <w:color w:val="333333"/>
          <w:sz w:val="32"/>
          <w:szCs w:val="32"/>
          <w:rtl/>
          <w:lang w:eastAsia="fr-FR"/>
        </w:rPr>
        <w:t> قواعدَ وضوابط استيراد وتصدير ونقْل المواد المخدِّرة والمؤثِّرات العقليَّة،فيَحظُرها جميعًا إلا بِناء على ترخيص كتابي يَصدُر من وزير الصحة لمدة سنة قابلة للتَّجديد لمؤسسات الدَّولة والمعاهد العلميَّة ومراكز البحث، وما في حُكْمها من مديري معامل التحليل ومصانع الأدوية التي يستدعي اختصاصُها استعمالَ المخدرات.</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وحدَّد </w:t>
      </w:r>
      <w:r w:rsidRPr="00562CEC">
        <w:rPr>
          <w:rFonts w:ascii="Sakkal Majalla" w:eastAsia="Times New Roman" w:hAnsi="Sakkal Majalla" w:cs="Sakkal Majalla"/>
          <w:b/>
          <w:bCs/>
          <w:color w:val="333333"/>
          <w:sz w:val="32"/>
          <w:szCs w:val="32"/>
          <w:rtl/>
          <w:lang w:eastAsia="fr-FR"/>
        </w:rPr>
        <w:t>الفصلُ الثالث</w:t>
      </w:r>
      <w:r w:rsidRPr="00562CEC">
        <w:rPr>
          <w:rFonts w:ascii="Sakkal Majalla" w:eastAsia="Times New Roman" w:hAnsi="Sakkal Majalla" w:cs="Sakkal Majalla"/>
          <w:color w:val="333333"/>
          <w:sz w:val="32"/>
          <w:szCs w:val="32"/>
          <w:rtl/>
          <w:lang w:eastAsia="fr-FR"/>
        </w:rPr>
        <w:t xml:space="preserve"> ضوابط الاتجار في المواد المخدرة </w:t>
      </w:r>
      <w:proofErr w:type="gramStart"/>
      <w:r w:rsidRPr="00562CEC">
        <w:rPr>
          <w:rFonts w:ascii="Sakkal Majalla" w:eastAsia="Times New Roman" w:hAnsi="Sakkal Majalla" w:cs="Sakkal Majalla"/>
          <w:color w:val="333333"/>
          <w:sz w:val="32"/>
          <w:szCs w:val="32"/>
          <w:rtl/>
          <w:lang w:eastAsia="fr-FR"/>
        </w:rPr>
        <w:t>والمؤثرات</w:t>
      </w:r>
      <w:proofErr w:type="gramEnd"/>
      <w:r w:rsidRPr="00562CEC">
        <w:rPr>
          <w:rFonts w:ascii="Sakkal Majalla" w:eastAsia="Times New Roman" w:hAnsi="Sakkal Majalla" w:cs="Sakkal Majalla"/>
          <w:color w:val="333333"/>
          <w:sz w:val="32"/>
          <w:szCs w:val="32"/>
          <w:rtl/>
          <w:lang w:eastAsia="fr-FR"/>
        </w:rPr>
        <w:t xml:space="preserve"> العقلية، وشروط منْح الترخيص لذلك.</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وخصص </w:t>
      </w:r>
      <w:r w:rsidRPr="00562CEC">
        <w:rPr>
          <w:rFonts w:ascii="Sakkal Majalla" w:eastAsia="Times New Roman" w:hAnsi="Sakkal Majalla" w:cs="Sakkal Majalla"/>
          <w:b/>
          <w:bCs/>
          <w:color w:val="333333"/>
          <w:sz w:val="32"/>
          <w:szCs w:val="32"/>
          <w:rtl/>
          <w:lang w:eastAsia="fr-FR"/>
        </w:rPr>
        <w:t>الفصل الرابع</w:t>
      </w:r>
      <w:r w:rsidRPr="00562CEC">
        <w:rPr>
          <w:rFonts w:ascii="Sakkal Majalla" w:eastAsia="Times New Roman" w:hAnsi="Sakkal Majalla" w:cs="Sakkal Majalla"/>
          <w:color w:val="333333"/>
          <w:sz w:val="32"/>
          <w:szCs w:val="32"/>
          <w:rtl/>
          <w:lang w:eastAsia="fr-FR"/>
        </w:rPr>
        <w:t> للبيانات والشروط ال</w:t>
      </w:r>
      <w:hyperlink r:id="rId5" w:tooltip="واجب" w:history="1">
        <w:r w:rsidRPr="00562CEC">
          <w:rPr>
            <w:rFonts w:ascii="Sakkal Majalla" w:eastAsia="Times New Roman" w:hAnsi="Sakkal Majalla" w:cs="Sakkal Majalla"/>
            <w:color w:val="5AB7DE"/>
            <w:sz w:val="32"/>
            <w:szCs w:val="32"/>
            <w:rtl/>
            <w:lang w:eastAsia="fr-FR"/>
          </w:rPr>
          <w:t>واجب</w:t>
        </w:r>
      </w:hyperlink>
      <w:r w:rsidRPr="00562CEC">
        <w:rPr>
          <w:rFonts w:ascii="Sakkal Majalla" w:eastAsia="Times New Roman" w:hAnsi="Sakkal Majalla" w:cs="Sakkal Majalla"/>
          <w:color w:val="333333"/>
          <w:sz w:val="32"/>
          <w:szCs w:val="32"/>
          <w:rtl/>
          <w:lang w:eastAsia="fr-FR"/>
        </w:rPr>
        <w:t> توافُرها في الأطباء والصيادلة المرخَّص لهم بتحرير الوصفات الطبية؛ لصَرْف المواد المخدرة وتحديد مقاديرها وأماكن تَداوُلها.</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562CEC">
        <w:rPr>
          <w:rFonts w:ascii="Sakkal Majalla" w:eastAsia="Times New Roman" w:hAnsi="Sakkal Majalla" w:cs="Sakkal Majalla"/>
          <w:color w:val="333333"/>
          <w:sz w:val="32"/>
          <w:szCs w:val="32"/>
          <w:rtl/>
          <w:lang w:eastAsia="fr-FR"/>
        </w:rPr>
        <w:t>أما</w:t>
      </w:r>
      <w:proofErr w:type="gramEnd"/>
      <w:r w:rsidRPr="00562CEC">
        <w:rPr>
          <w:rFonts w:ascii="Sakkal Majalla" w:eastAsia="Times New Roman" w:hAnsi="Sakkal Majalla" w:cs="Sakkal Majalla"/>
          <w:color w:val="333333"/>
          <w:sz w:val="32"/>
          <w:szCs w:val="32"/>
          <w:rtl/>
          <w:lang w:eastAsia="fr-FR"/>
        </w:rPr>
        <w:t> </w:t>
      </w:r>
      <w:r w:rsidRPr="00562CEC">
        <w:rPr>
          <w:rFonts w:ascii="Sakkal Majalla" w:eastAsia="Times New Roman" w:hAnsi="Sakkal Majalla" w:cs="Sakkal Majalla"/>
          <w:b/>
          <w:bCs/>
          <w:color w:val="333333"/>
          <w:sz w:val="32"/>
          <w:szCs w:val="32"/>
          <w:rtl/>
          <w:lang w:eastAsia="fr-FR"/>
        </w:rPr>
        <w:t>الفصل الخامس</w:t>
      </w:r>
      <w:r w:rsidRPr="00562CEC">
        <w:rPr>
          <w:rFonts w:ascii="Sakkal Majalla" w:eastAsia="Times New Roman" w:hAnsi="Sakkal Majalla" w:cs="Sakkal Majalla"/>
          <w:color w:val="333333"/>
          <w:sz w:val="32"/>
          <w:szCs w:val="32"/>
          <w:rtl/>
          <w:lang w:eastAsia="fr-FR"/>
        </w:rPr>
        <w:t>، فيُحدِّد شروطَ وضوابط صُنْع المستحضرات الطبية التي تحتوي على مواد مخدِّرة أو مؤثرات عقلية.</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ووضع </w:t>
      </w:r>
      <w:r w:rsidRPr="00562CEC">
        <w:rPr>
          <w:rFonts w:ascii="Sakkal Majalla" w:eastAsia="Times New Roman" w:hAnsi="Sakkal Majalla" w:cs="Sakkal Majalla"/>
          <w:b/>
          <w:bCs/>
          <w:color w:val="333333"/>
          <w:sz w:val="32"/>
          <w:szCs w:val="32"/>
          <w:rtl/>
          <w:lang w:eastAsia="fr-FR"/>
        </w:rPr>
        <w:t>الفصل السادس</w:t>
      </w:r>
      <w:r w:rsidRPr="00562CEC">
        <w:rPr>
          <w:rFonts w:ascii="Sakkal Majalla" w:eastAsia="Times New Roman" w:hAnsi="Sakkal Majalla" w:cs="Sakkal Majalla"/>
          <w:color w:val="333333"/>
          <w:sz w:val="32"/>
          <w:szCs w:val="32"/>
          <w:rtl/>
          <w:lang w:eastAsia="fr-FR"/>
        </w:rPr>
        <w:t> شروط زراعة النباتات المنتجة للمواد المخدرة وشروط استيرادها وتصديرها؛ حتى يقتصر ذلك على الأغراض الطبية والعلمية، وبالقيود المنصوص عليها في القانون.</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lastRenderedPageBreak/>
        <w:t>ويُبيِّن </w:t>
      </w:r>
      <w:r w:rsidRPr="00562CEC">
        <w:rPr>
          <w:rFonts w:ascii="Sakkal Majalla" w:eastAsia="Times New Roman" w:hAnsi="Sakkal Majalla" w:cs="Sakkal Majalla"/>
          <w:b/>
          <w:bCs/>
          <w:color w:val="333333"/>
          <w:sz w:val="32"/>
          <w:szCs w:val="32"/>
          <w:rtl/>
          <w:lang w:eastAsia="fr-FR"/>
        </w:rPr>
        <w:t>الفصل السَّابع</w:t>
      </w:r>
      <w:r w:rsidRPr="00562CEC">
        <w:rPr>
          <w:rFonts w:ascii="Sakkal Majalla" w:eastAsia="Times New Roman" w:hAnsi="Sakkal Majalla" w:cs="Sakkal Majalla"/>
          <w:color w:val="333333"/>
          <w:sz w:val="32"/>
          <w:szCs w:val="32"/>
          <w:rtl/>
          <w:lang w:eastAsia="fr-FR"/>
        </w:rPr>
        <w:t xml:space="preserve"> كيفية تسجيل </w:t>
      </w:r>
      <w:proofErr w:type="gramStart"/>
      <w:r w:rsidRPr="00562CEC">
        <w:rPr>
          <w:rFonts w:ascii="Sakkal Majalla" w:eastAsia="Times New Roman" w:hAnsi="Sakkal Majalla" w:cs="Sakkal Majalla"/>
          <w:color w:val="333333"/>
          <w:sz w:val="32"/>
          <w:szCs w:val="32"/>
          <w:rtl/>
          <w:lang w:eastAsia="fr-FR"/>
        </w:rPr>
        <w:t>وتفتيش</w:t>
      </w:r>
      <w:proofErr w:type="gramEnd"/>
      <w:r w:rsidRPr="00562CEC">
        <w:rPr>
          <w:rFonts w:ascii="Sakkal Majalla" w:eastAsia="Times New Roman" w:hAnsi="Sakkal Majalla" w:cs="Sakkal Majalla"/>
          <w:color w:val="333333"/>
          <w:sz w:val="32"/>
          <w:szCs w:val="32"/>
          <w:rtl/>
          <w:lang w:eastAsia="fr-FR"/>
        </w:rPr>
        <w:t xml:space="preserve"> ومراقبة المواد المخدرة والمؤثرات العقلية.</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ويتضمَّن الفصل الثامن التدابير والعقوبات المقرَّرة على مخالفة هذا القانون، سواء بالنسبة لجرائم الإنتاج أو الاستيراد أو التصدير، أو لجرائم الاتجار بالمخدرات وإعداد أماكن لتعاطيها أو تقديمها، أو لجرائم حيازة وإحراز وشراء المخدرات بغير قصد الاتجار أو التعاطي أو الاستعمال الشَّخصي، أو لجرائم زراعة وصناعة وحيازة المخدرات بقصد التعاطي أو الاستعمال الشخصي.</w:t>
      </w:r>
    </w:p>
    <w:p w:rsidR="00562CEC" w:rsidRPr="00562CEC" w:rsidRDefault="00562CEC" w:rsidP="00562CEC">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color w:val="333333"/>
          <w:sz w:val="32"/>
          <w:szCs w:val="32"/>
          <w:rtl/>
          <w:lang w:eastAsia="fr-FR"/>
        </w:rPr>
        <w:t>وقد استحدث القانون العربي الموحَّد عقوبة المصادَرة للمواد المخدرة، وللثروات الناتجة عن الاتجار فيها، واعتبر جرائم المخدرات موجِبة لتسليم مرتكبيها إذا هربوا خارج إقليم الدَّول</w:t>
      </w:r>
    </w:p>
    <w:p w:rsidR="00562CEC" w:rsidRPr="00562CEC" w:rsidRDefault="00562CEC" w:rsidP="00562CEC">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562CEC">
        <w:rPr>
          <w:rFonts w:ascii="Sakkal Majalla" w:eastAsia="Times New Roman" w:hAnsi="Sakkal Majalla" w:cs="Sakkal Majalla"/>
          <w:b/>
          <w:bCs/>
          <w:color w:val="333333"/>
          <w:sz w:val="32"/>
          <w:szCs w:val="32"/>
          <w:rtl/>
          <w:lang w:eastAsia="fr-FR"/>
        </w:rPr>
        <w:t>           2- </w:t>
      </w:r>
      <w:proofErr w:type="gramStart"/>
      <w:r w:rsidRPr="00562CEC">
        <w:rPr>
          <w:rFonts w:ascii="Sakkal Majalla" w:eastAsia="Times New Roman" w:hAnsi="Sakkal Majalla" w:cs="Sakkal Majalla"/>
          <w:b/>
          <w:bCs/>
          <w:color w:val="333333"/>
          <w:sz w:val="32"/>
          <w:szCs w:val="32"/>
          <w:rtl/>
          <w:lang w:eastAsia="fr-FR"/>
        </w:rPr>
        <w:t>الاتفاقية</w:t>
      </w:r>
      <w:proofErr w:type="gramEnd"/>
      <w:r w:rsidRPr="00562CEC">
        <w:rPr>
          <w:rFonts w:ascii="Sakkal Majalla" w:eastAsia="Times New Roman" w:hAnsi="Sakkal Majalla" w:cs="Sakkal Majalla"/>
          <w:b/>
          <w:bCs/>
          <w:color w:val="333333"/>
          <w:sz w:val="32"/>
          <w:szCs w:val="32"/>
          <w:rtl/>
          <w:lang w:eastAsia="fr-FR"/>
        </w:rPr>
        <w:t xml:space="preserve"> العربيَّة الموحَّدة للتعاون القضائي:</w:t>
      </w:r>
      <w:r w:rsidRPr="00562CEC">
        <w:rPr>
          <w:rFonts w:ascii="Sakkal Majalla" w:eastAsia="Times New Roman" w:hAnsi="Sakkal Majalla" w:cs="Sakkal Majalla"/>
          <w:color w:val="333333"/>
          <w:sz w:val="32"/>
          <w:szCs w:val="32"/>
          <w:rtl/>
          <w:lang w:eastAsia="fr-FR"/>
        </w:rPr>
        <w:t xml:space="preserve">قام بإعداد هذه الاتفاقية - على مدى ست سنوات - لجنةٌ من الخبراء الذين اختارهم مجلس وزراء العدل العرب، وكلَّفوهم أثناء اجتماعه في الرباط سنة 1977  بصياغة اتفاقيَّة عربية موحَّدة للتعاون القضائي، ثم أقرَّها في اجتماعه بالرياض سنة 1983. </w:t>
      </w:r>
      <w:proofErr w:type="spellStart"/>
      <w:r w:rsidRPr="00562CEC">
        <w:rPr>
          <w:rFonts w:ascii="Sakkal Majalla" w:eastAsia="Times New Roman" w:hAnsi="Sakkal Majalla" w:cs="Sakkal Majalla"/>
          <w:color w:val="333333"/>
          <w:sz w:val="32"/>
          <w:szCs w:val="32"/>
          <w:rtl/>
          <w:lang w:eastAsia="fr-FR"/>
        </w:rPr>
        <w:t>تنصُّ</w:t>
      </w:r>
      <w:proofErr w:type="spellEnd"/>
      <w:r w:rsidRPr="00562CEC">
        <w:rPr>
          <w:rFonts w:ascii="Sakkal Majalla" w:eastAsia="Times New Roman" w:hAnsi="Sakkal Majalla" w:cs="Sakkal Majalla"/>
          <w:color w:val="333333"/>
          <w:sz w:val="32"/>
          <w:szCs w:val="32"/>
          <w:rtl/>
          <w:lang w:eastAsia="fr-FR"/>
        </w:rPr>
        <w:t xml:space="preserve"> هذه الاتفاقية على أهمية تبادُل المعلومات، وتشجيع الزيارات وعقْد الندوات، والتعاون في مجال صُحُف الحالة الجنائية.</w:t>
      </w:r>
      <w:proofErr w:type="gramStart"/>
      <w:r w:rsidRPr="00562CEC">
        <w:rPr>
          <w:rFonts w:ascii="Sakkal Majalla" w:eastAsia="Times New Roman" w:hAnsi="Sakkal Majalla" w:cs="Sakkal Majalla"/>
          <w:color w:val="333333"/>
          <w:sz w:val="32"/>
          <w:szCs w:val="32"/>
          <w:rtl/>
          <w:lang w:eastAsia="fr-FR"/>
        </w:rPr>
        <w:t>وقد</w:t>
      </w:r>
      <w:proofErr w:type="gramEnd"/>
      <w:r w:rsidRPr="00562CEC">
        <w:rPr>
          <w:rFonts w:ascii="Sakkal Majalla" w:eastAsia="Times New Roman" w:hAnsi="Sakkal Majalla" w:cs="Sakkal Majalla"/>
          <w:color w:val="333333"/>
          <w:sz w:val="32"/>
          <w:szCs w:val="32"/>
          <w:rtl/>
          <w:lang w:eastAsia="fr-FR"/>
        </w:rPr>
        <w:t xml:space="preserve"> استند القانونُ العربي النموذجي الموحَّد للمخدرات (1986) على هذه الاتفاقية؛ حين اعتبر الجرائم المنصوص عليها فيه من الجرائم المُوجِبة للتسليم، وحين أخذ بأسلوب التسليم المراقِب للمُهرِّبين ومَن وراءهم وتقديمهم للمحاكمة الجنائية. </w:t>
      </w:r>
    </w:p>
    <w:p w:rsidR="000D7BC9" w:rsidRPr="00562CEC" w:rsidRDefault="000D7BC9" w:rsidP="00562CEC">
      <w:pPr>
        <w:bidi/>
        <w:spacing w:after="0"/>
        <w:jc w:val="lowKashida"/>
        <w:rPr>
          <w:rFonts w:ascii="Sakkal Majalla" w:hAnsi="Sakkal Majalla" w:cs="Sakkal Majalla"/>
          <w:sz w:val="32"/>
          <w:szCs w:val="32"/>
        </w:rPr>
      </w:pPr>
    </w:p>
    <w:sectPr w:rsidR="000D7BC9" w:rsidRPr="00562CEC" w:rsidSect="00562CEC">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3A24"/>
    <w:multiLevelType w:val="multilevel"/>
    <w:tmpl w:val="4704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CF6DC8"/>
    <w:multiLevelType w:val="multilevel"/>
    <w:tmpl w:val="C80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62CEC"/>
    <w:rsid w:val="000D7BC9"/>
    <w:rsid w:val="00562C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562CE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62CE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62CEC"/>
    <w:rPr>
      <w:color w:val="0000FF"/>
      <w:u w:val="single"/>
    </w:rPr>
  </w:style>
  <w:style w:type="paragraph" w:styleId="NormalWeb">
    <w:name w:val="Normal (Web)"/>
    <w:basedOn w:val="Normal"/>
    <w:uiPriority w:val="99"/>
    <w:semiHidden/>
    <w:unhideWhenUsed/>
    <w:rsid w:val="00562C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963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assign/view.php?id=8730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1</cp:revision>
  <dcterms:created xsi:type="dcterms:W3CDTF">2024-12-14T14:39:00Z</dcterms:created>
  <dcterms:modified xsi:type="dcterms:W3CDTF">2024-12-14T14:41:00Z</dcterms:modified>
</cp:coreProperties>
</file>