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C7A7" w14:textId="4AAFC6C3" w:rsidR="001D4D81" w:rsidRPr="001A5781" w:rsidRDefault="001D4D81" w:rsidP="001D4D81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bidi="ar-DZ"/>
        </w:rPr>
      </w:pPr>
      <w:r w:rsidRPr="001A5781">
        <w:rPr>
          <w:rFonts w:ascii="Sakkal Majalla" w:hAnsi="Sakkal Majalla" w:cs="Sakkal Majalla" w:hint="cs"/>
          <w:b/>
          <w:bCs/>
          <w:sz w:val="48"/>
          <w:szCs w:val="48"/>
          <w:highlight w:val="cyan"/>
          <w:u w:val="single"/>
          <w:rtl/>
          <w:lang w:bidi="ar-DZ"/>
        </w:rPr>
        <w:t>الوضعية ال</w:t>
      </w:r>
      <w:r w:rsidR="001A5781" w:rsidRPr="001A5781">
        <w:rPr>
          <w:rFonts w:ascii="Sakkal Majalla" w:hAnsi="Sakkal Majalla" w:cs="Sakkal Majalla" w:hint="cs"/>
          <w:b/>
          <w:bCs/>
          <w:sz w:val="48"/>
          <w:szCs w:val="48"/>
          <w:highlight w:val="cyan"/>
          <w:u w:val="single"/>
          <w:rtl/>
          <w:lang w:bidi="ar-DZ"/>
        </w:rPr>
        <w:t>إ</w:t>
      </w:r>
      <w:r w:rsidRPr="001A5781">
        <w:rPr>
          <w:rFonts w:ascii="Sakkal Majalla" w:hAnsi="Sakkal Majalla" w:cs="Sakkal Majalla" w:hint="cs"/>
          <w:b/>
          <w:bCs/>
          <w:sz w:val="48"/>
          <w:szCs w:val="48"/>
          <w:highlight w:val="cyan"/>
          <w:u w:val="single"/>
          <w:rtl/>
          <w:lang w:bidi="ar-DZ"/>
        </w:rPr>
        <w:t>دماجية</w:t>
      </w:r>
    </w:p>
    <w:p w14:paraId="5C4C2C5C" w14:textId="3AC16921" w:rsidR="00C0426E" w:rsidRPr="00C0426E" w:rsidRDefault="00EB60D5" w:rsidP="001D4D81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83616">
        <w:rPr>
          <w:rFonts w:ascii="Sakkal Majalla" w:hAnsi="Sakkal Majalla" w:cs="Sakkal Majalla"/>
          <w:sz w:val="28"/>
          <w:szCs w:val="28"/>
          <w:lang w:bidi="ar-DZ"/>
        </w:rPr>
        <w:t xml:space="preserve">  </w:t>
      </w:r>
      <w:r w:rsidR="00C0426E" w:rsidRPr="00C0426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الس</w:t>
      </w:r>
      <w:r w:rsidR="00C0426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ــــــــــــــــــــــــــــــــــــــــــــ</w:t>
      </w:r>
      <w:r w:rsidR="00C0426E" w:rsidRPr="00C0426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ند:</w:t>
      </w:r>
    </w:p>
    <w:p w14:paraId="0C72C4AD" w14:textId="48B17E6E" w:rsidR="00447550" w:rsidRPr="00A83616" w:rsidRDefault="00EB60D5" w:rsidP="00C0426E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83616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1A578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باعتباركم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طلبة الماستر 2 علوم الاعلام والاتصال تخصص اتصال جماهيري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ووسائط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جديدة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فأنتم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مقبلون على التخرج 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>والظفر بالشهادة ، لت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>توجه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>وا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بعدها ل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>تجربة كفاءاتكم ومهاراتكم ومكتسباتكم لأجل ال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>حصول على فر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>ص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العمل بالشهادة التي افنيتم سنين عمركم للحصول عليها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14:paraId="66C177F2" w14:textId="51B0C5E4" w:rsidR="00C53149" w:rsidRPr="00A83616" w:rsidRDefault="00EB60D5" w:rsidP="00EB60D5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A83616">
        <w:rPr>
          <w:rFonts w:ascii="Sakkal Majalla" w:hAnsi="Sakkal Majalla" w:cs="Sakkal Majalla"/>
          <w:sz w:val="28"/>
          <w:szCs w:val="28"/>
          <w:lang w:bidi="ar-DZ"/>
        </w:rPr>
        <w:t xml:space="preserve">         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>ول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>ن الحصول على منصب عمل في الجزائر أمر صعب جدا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="00C53149" w:rsidRPr="00A83616">
        <w:rPr>
          <w:rFonts w:ascii="Sakkal Majalla" w:hAnsi="Sakkal Majalla" w:cs="Sakkal Majalla"/>
          <w:sz w:val="28"/>
          <w:szCs w:val="28"/>
          <w:rtl/>
          <w:lang w:bidi="ar-DZ"/>
        </w:rPr>
        <w:t>مر الذي يستدعي</w:t>
      </w:r>
      <w:r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منكم عدم الاكتفاء بشهادة الماستر والتطلع للحصول على شهادة الدكتوراه لتعميق معارفكم  وتطوير مهاراتكم من جهة</w:t>
      </w:r>
      <w:r w:rsid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وفتح فرص جديدة للتقدم الوظيفي في مجالات البحث والتدريس من جهة أخرى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وهو هدف الكثير منكم.</w:t>
      </w:r>
    </w:p>
    <w:p w14:paraId="0F0B48AB" w14:textId="70A9057D" w:rsidR="00EB60D5" w:rsidRPr="00A83616" w:rsidRDefault="0053635A" w:rsidP="00EB60D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</w:t>
      </w:r>
      <w:r w:rsid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وباعتبار أن</w:t>
      </w:r>
      <w:r w:rsidR="00EB60D5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شهادة الدكتوراه غير متاحة للجميع </w:t>
      </w:r>
      <w:r w:rsidR="007060E8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فالنجاح فيها يحتم</w:t>
      </w:r>
      <w:r w:rsidR="00EB60D5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على</w:t>
      </w:r>
      <w:r w:rsidR="007060E8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المترشح منكم</w:t>
      </w:r>
      <w:r w:rsidR="00EB60D5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اجتياز مسابقة </w:t>
      </w:r>
      <w:r w:rsidR="007060E8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في أسئلتها من التعقيد ما يحتاج منكم الى تحضير واسع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060E8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واستعداد مكثف.</w:t>
      </w:r>
    </w:p>
    <w:p w14:paraId="2BBAF941" w14:textId="1033C6A9" w:rsidR="0053635A" w:rsidRPr="00A83616" w:rsidRDefault="0053635A" w:rsidP="0053635A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افترضوا 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أعزاءي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الطلبة 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أ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نكم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الصيف القادم وأنتم مقبلون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على اجتياز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امتحان الدكتوراه شاءت الأقدار أن يكون سؤال المعرفة المتخصصة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مقياس التنظيم القانوني لتداول المعلومة، وكان 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نص السؤال 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على الشكل التالي:</w:t>
      </w:r>
    </w:p>
    <w:p w14:paraId="4AADEA0D" w14:textId="5905F976" w:rsidR="00C409C6" w:rsidRPr="00A83616" w:rsidRDefault="001A5781" w:rsidP="001D4D81">
      <w:pPr>
        <w:shd w:val="clear" w:color="auto" w:fill="D9D9D9" w:themeFill="background1" w:themeFillShade="D9"/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((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يختلف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التنظيم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القانوني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لتداول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المعلومات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في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جميع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أنحاء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العالم،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حيث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توجد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مجموعة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واسعة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من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القوانين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واللوائح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التي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تحكم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كيفية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جمع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المعلومات</w:t>
      </w:r>
      <w:r w:rsidR="0053635A" w:rsidRPr="00A83616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واستخدامها 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ونقلها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وموانع الحصول عليها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ومن هذه التن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ظ</w:t>
      </w:r>
      <w:r w:rsidR="0053635A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يمات ما هو دولي وإقليمي ومنها ما هو أوروبي وعربي ومنها</w:t>
      </w:r>
      <w:r w:rsidR="00C409C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ما هو وطني على غرار التنظيم القانوني لحرية تداول المعلومة في الجزائر . حلل وناقش ؟  ))</w:t>
      </w:r>
    </w:p>
    <w:p w14:paraId="77738C3B" w14:textId="34E624BE" w:rsidR="00C409C6" w:rsidRPr="00A83616" w:rsidRDefault="00C409C6" w:rsidP="00C409C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83616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DZ"/>
        </w:rPr>
        <w:t>التعليمة :</w:t>
      </w:r>
      <w:r w:rsidRPr="00A83616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 xml:space="preserve"> </w:t>
      </w:r>
      <w:r w:rsidR="00BE6DE9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>استنادا على مدرسته في المقياس وب</w:t>
      </w:r>
      <w:r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خطة منجية سليمة بمقدمة </w:t>
      </w:r>
      <w:r w:rsidR="00BE6DE9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>ومدخل مفاهيمي و</w:t>
      </w:r>
      <w:r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أربعة فصول </w:t>
      </w:r>
      <w:r w:rsidR="00BE6DE9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>بمباحثها وخاتمة</w:t>
      </w:r>
      <w:r w:rsidR="00A83616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BE6DE9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>حاول أ</w:t>
      </w:r>
      <w:r w:rsidR="00BE6DE9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 </w:t>
      </w:r>
      <w:r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>تحلل هذا النص</w:t>
      </w:r>
      <w:r w:rsidR="00A83616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منتقلا من العام الى الخاص فالأخص مع</w:t>
      </w:r>
      <w:r w:rsidR="00BE6DE9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83616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>مراعاة</w:t>
      </w:r>
      <w:r w:rsidR="00BE6DE9" w:rsidRPr="00A83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 يلي:</w:t>
      </w:r>
    </w:p>
    <w:p w14:paraId="664A34A8" w14:textId="479B1A22" w:rsidR="00BE6DE9" w:rsidRPr="00A83616" w:rsidRDefault="00BE6DE9" w:rsidP="00BE6DE9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 xml:space="preserve">المهمة </w:t>
      </w:r>
      <w:r w:rsidR="00A83616"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1</w:t>
      </w: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: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مدخل مفاهيمي تعرف فيه مصطلحات المقياس (المعلومة ، التنظيم القانوني، حرية تداول المعلومات)</w:t>
      </w:r>
    </w:p>
    <w:p w14:paraId="459D7B9E" w14:textId="099218D7" w:rsidR="00BE6DE9" w:rsidRPr="00A83616" w:rsidRDefault="00BE6DE9" w:rsidP="00BE6DE9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 xml:space="preserve">المهمة </w:t>
      </w:r>
      <w:r w:rsidR="00A83616"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 xml:space="preserve">2 </w:t>
      </w: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: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أن 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تستخرج النصوص القانونية من المواثيق الدولية والإقليمية حول الحق في تداول المعلومة </w:t>
      </w:r>
      <w:r w:rsidR="001D4D81">
        <w:rPr>
          <w:rFonts w:ascii="Sakkal Majalla" w:hAnsi="Sakkal Majalla" w:cs="Sakkal Majalla" w:hint="cs"/>
          <w:sz w:val="28"/>
          <w:szCs w:val="28"/>
          <w:rtl/>
          <w:lang w:bidi="ar-DZ"/>
        </w:rPr>
        <w:t>ث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م تعلق عليها وتحللها.</w:t>
      </w:r>
    </w:p>
    <w:p w14:paraId="10AD0664" w14:textId="2C0183F3" w:rsidR="00BE6DE9" w:rsidRPr="00A83616" w:rsidRDefault="00BE6DE9" w:rsidP="00BE6DE9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 xml:space="preserve">المهمة </w:t>
      </w:r>
      <w:r w:rsidR="00A83616"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3</w:t>
      </w: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: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bookmarkStart w:id="0" w:name="_Hlk163171715"/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تحلل المواد القانونية التي جاء بها </w:t>
      </w:r>
      <w:r w:rsidR="00A8361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>التنظيم</w:t>
      </w:r>
      <w:r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القانوني في أوروبا (بريطانيا وفرنسا )من حيث حق الفرد في الحصول على المعلومة و القيود المرتبطة بحرية الحصول على هذه المعلومات.</w:t>
      </w:r>
      <w:bookmarkEnd w:id="0"/>
    </w:p>
    <w:p w14:paraId="74A1C563" w14:textId="0164E156" w:rsidR="00BE6DE9" w:rsidRPr="00A83616" w:rsidRDefault="00A83616" w:rsidP="00BE6DE9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ال</w:t>
      </w:r>
      <w:r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م</w:t>
      </w: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همة</w:t>
      </w:r>
      <w:r w:rsidR="00BE6DE9"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 xml:space="preserve"> </w:t>
      </w: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4</w:t>
      </w:r>
      <w:r w:rsidR="00BE6DE9"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:</w:t>
      </w:r>
      <w:r w:rsidR="00BE6DE9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تحلل المواد القانونية التي جاء بها التنظيم القانوني العربي (الأردن ومصر )من حيث حق الفرد في الحصول على المعلومة و القيود المرتبطة بحرية الحصول على هذه المعلومات.</w:t>
      </w:r>
    </w:p>
    <w:p w14:paraId="2AD68D6A" w14:textId="017E70EF" w:rsidR="0053635A" w:rsidRPr="001F2BCD" w:rsidRDefault="00BE6DE9" w:rsidP="001F2BCD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 xml:space="preserve">المهمة </w:t>
      </w:r>
      <w:r w:rsidR="00A83616" w:rsidRPr="00A83616">
        <w:rPr>
          <w:rFonts w:ascii="Sakkal Majalla" w:hAnsi="Sakkal Majalla" w:cs="Sakkal Majalla" w:hint="cs"/>
          <w:b/>
          <w:bCs/>
          <w:sz w:val="28"/>
          <w:szCs w:val="28"/>
          <w:highlight w:val="cyan"/>
          <w:rtl/>
          <w:lang w:bidi="ar-DZ"/>
        </w:rPr>
        <w:t>5:</w:t>
      </w:r>
      <w:r w:rsidR="00A83616" w:rsidRPr="00A8361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تستخرج وتحلل النصوص القانونية الواردة في الدساتير الجزائرية قبل التعددية وبعد التعددية، مع  الاشارة لحق الصحفي في الحصول على المعلومة منا نصت عليه قوانين الاعلام الجزائرية من 1982 الى 2023.</w:t>
      </w:r>
    </w:p>
    <w:p w14:paraId="41C5DA8B" w14:textId="7196A891" w:rsidR="00C53149" w:rsidRDefault="00C53149">
      <w:pPr>
        <w:rPr>
          <w:rtl/>
          <w:lang w:bidi="ar-DZ"/>
        </w:rPr>
      </w:pPr>
    </w:p>
    <w:p w14:paraId="25BDB484" w14:textId="77777777" w:rsidR="00D93C23" w:rsidRDefault="00D93C23">
      <w:pPr>
        <w:rPr>
          <w:lang w:bidi="ar-DZ"/>
        </w:rPr>
      </w:pPr>
    </w:p>
    <w:sectPr w:rsidR="00D9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3D"/>
    <w:rsid w:val="001A5781"/>
    <w:rsid w:val="001D4D81"/>
    <w:rsid w:val="001F2BCD"/>
    <w:rsid w:val="002A3CE9"/>
    <w:rsid w:val="00447550"/>
    <w:rsid w:val="004D6047"/>
    <w:rsid w:val="0053635A"/>
    <w:rsid w:val="007060E8"/>
    <w:rsid w:val="00A83616"/>
    <w:rsid w:val="00BE6DE9"/>
    <w:rsid w:val="00C0426E"/>
    <w:rsid w:val="00C409C6"/>
    <w:rsid w:val="00C53149"/>
    <w:rsid w:val="00D93C23"/>
    <w:rsid w:val="00EB60D5"/>
    <w:rsid w:val="00E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9673"/>
  <w15:chartTrackingRefBased/>
  <w15:docId w15:val="{3A80B5AB-F3AC-4500-96E3-5A6D90B3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F72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2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2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2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2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2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2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2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2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F72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EF72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EF72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EF723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EF723D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EF723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EF723D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EF723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EF723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EF72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EF7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EF72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EF72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EF72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EF723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EF723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EF723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EF72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EF723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EF72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2024-04-04T22:53:00Z</dcterms:created>
  <dcterms:modified xsi:type="dcterms:W3CDTF">2024-04-05T00:37:00Z</dcterms:modified>
</cp:coreProperties>
</file>