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65" w:rsidRPr="00751F65" w:rsidRDefault="00751F65" w:rsidP="00751F65">
      <w:pPr>
        <w:pBdr>
          <w:bottom w:val="single" w:sz="12" w:space="0" w:color="0061AA"/>
        </w:pBdr>
        <w:shd w:val="clear" w:color="auto" w:fill="FFFFFF"/>
        <w:spacing w:before="300" w:after="225" w:line="240" w:lineRule="auto"/>
        <w:outlineLvl w:val="0"/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fr-FR"/>
        </w:rPr>
      </w:pPr>
      <w:bookmarkStart w:id="0" w:name="_GoBack"/>
      <w:bookmarkEnd w:id="0"/>
      <w:r w:rsidRPr="00751F65"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fr-FR"/>
        </w:rPr>
        <w:t>La proposition subordonnée relative</w:t>
      </w:r>
    </w:p>
    <w:p w:rsidR="00751F65" w:rsidRPr="00751F65" w:rsidRDefault="00751F65" w:rsidP="00751F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4C97"/>
          <w:sz w:val="24"/>
          <w:szCs w:val="24"/>
          <w:lang w:eastAsia="fr-FR"/>
        </w:rPr>
      </w:pP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Qu’est-ce qu’une proposition subordonnée relative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La proposition subordonnée relative permet de donner des informations complémentaires sur un </w:t>
      </w:r>
      <w:hyperlink r:id="rId6" w:history="1">
        <w:r w:rsidRPr="00751F65">
          <w:rPr>
            <w:rFonts w:ascii="Times New Roman" w:eastAsia="Times New Roman" w:hAnsi="Times New Roman" w:cs="Times New Roman"/>
            <w:color w:val="004C97"/>
            <w:sz w:val="24"/>
            <w:szCs w:val="24"/>
            <w:u w:val="single"/>
            <w:lang w:eastAsia="fr-FR"/>
          </w:rPr>
          <w:t>nom</w:t>
        </w:r>
      </w:hyperlink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ou un </w:t>
      </w:r>
      <w:hyperlink r:id="rId7" w:history="1">
        <w:r w:rsidRPr="00751F65">
          <w:rPr>
            <w:rFonts w:ascii="Times New Roman" w:eastAsia="Times New Roman" w:hAnsi="Times New Roman" w:cs="Times New Roman"/>
            <w:color w:val="004C97"/>
            <w:sz w:val="24"/>
            <w:szCs w:val="24"/>
            <w:u w:val="single"/>
            <w:lang w:eastAsia="fr-FR"/>
          </w:rPr>
          <w:t>pronom</w:t>
        </w:r>
      </w:hyperlink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sans commencer une nouvelle phrase. Une proposition relative fournissant des informations essentielles n’est pas séparée du reste de la phrase par des </w:t>
      </w:r>
      <w:hyperlink r:id="rId8" w:history="1">
        <w:r w:rsidRPr="00751F65">
          <w:rPr>
            <w:rFonts w:ascii="Times New Roman" w:eastAsia="Times New Roman" w:hAnsi="Times New Roman" w:cs="Times New Roman"/>
            <w:color w:val="004C97"/>
            <w:sz w:val="24"/>
            <w:szCs w:val="24"/>
            <w:u w:val="single"/>
            <w:lang w:eastAsia="fr-FR"/>
          </w:rPr>
          <w:t>virgules</w:t>
        </w:r>
      </w:hyperlink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; c’est le cas lorsqu’une relative ne fournit que des informations secondaires.</w:t>
      </w:r>
    </w:p>
    <w:p w:rsidR="00751F65" w:rsidRPr="00751F65" w:rsidRDefault="00751F65" w:rsidP="00751F65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Exemple</w:t>
      </w:r>
    </w:p>
    <w:p w:rsidR="00751F65" w:rsidRPr="00751F65" w:rsidRDefault="00751F65" w:rsidP="00751F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Ce sont les amis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avec lesquels je passe mon temps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. Lucas,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que je connais depuis longtemps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est très drôle. Antoine,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qui porte des lunettes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, est dans ma classe. Et Léonie,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dont le sourire est magnifique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danse très bien.</w:t>
      </w: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Quelle est la structure de la proposition relative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La proposition subordonnée relative est, dans la plupart des cas, placée derrière le nom ou le pronom qu’elle complète – que ce soit en fin de phrase ou au milieu de celle-ci. La forme du pronom relatif dépend de sa fonction dans la phrase.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Sujet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Antoine,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porte des lunettes, est dans ma classe.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Antoine porte des lunettes. – 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 ?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Complém. avec de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Léonie,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dont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le sourire est magnifique, danse très bien.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Le sourire de Léonie est magnifique. – Le sourire 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fr-FR"/>
        </w:rPr>
        <w:t>de qui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 ?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Avec préposition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Ce sont les amis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avec lesquels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je passe mon temps.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Je passe mon temps avec ces amis. – 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fr-FR"/>
        </w:rPr>
        <w:t>Avec qui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 ?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COD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Lucas,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je connais depuis longtemps, est très drôle.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lastRenderedPageBreak/>
        <w:t>Je connais Lucas depuis longtemps. – 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 ?</w:t>
      </w: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Que sont les relatives restrictives et non restrictives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important de déterminer si la relative est nécessaire à la compréhension de la phrase globale ou si elle n’apporte que des informations secondaires qui ne changent pas le sens de cette phrase. Cette différence influence la ponctuation.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Les relatives restrictives ou déterminantes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Ces propositions relatives apportent des informations nécessaires à la compréhension de la phrase. Elles ne sont jamais séparées du reste de la phrase par une ou des virgule(s).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Ce sont les amis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avec lesquels je passe mon temps.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Il est impossible de supprimer la relative sans nuire au sens global de la phrase.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Les relatives non restrictives ou explicatives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Ces propositions relatives apportent des informations complémentaires mais non nécessaires à la compréhension de la phrase. Elles sont séparées du reste de la phrase par une ou des virgule(s).</w:t>
      </w:r>
    </w:p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Lucas,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que je connais depuis longtemps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, est très drôle.</w:t>
      </w:r>
    </w:p>
    <w:p w:rsidR="00751F65" w:rsidRPr="00751F65" w:rsidRDefault="00751F65" w:rsidP="00751F65">
      <w:pPr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202020"/>
          <w:sz w:val="24"/>
          <w:szCs w:val="24"/>
          <w:lang w:eastAsia="fr-FR"/>
        </w:rPr>
        <w:t>Il est possible de supprimer la relative sans nuire au sens global de la phrase.</w:t>
      </w: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Comment construire une proposition relative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La proposition subordonnée relative est introduite par un pronom relatif.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Les pronoms relatifs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pronoms relatifs sont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que, quoi, dont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et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où.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Ils remplacent dans la proposition subordonnée relative un nom ou un pronom de la proposition principale (appelé alors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antécédent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Quel pronom relatif faut-il utiliser? Cela dépend de sa fonction dans la phrase (voir le tableau).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1955"/>
        <w:gridCol w:w="3370"/>
      </w:tblGrid>
      <w:tr w:rsidR="00751F65" w:rsidRPr="00751F65" w:rsidTr="00751F65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751F65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Fonction du pronom relatif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751F65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Personne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751F65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Chose concrète ou abstraite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sujet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qui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qui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COD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que/qu’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que/qu’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lastRenderedPageBreak/>
              <w:t>(préposition +) COI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(préposition +) qui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(préposition +) quoi, lequel, auquel, …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complément du nom (</w:t>
            </w:r>
            <w:r w:rsidRPr="00751F65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lang w:eastAsia="fr-FR"/>
              </w:rPr>
              <w:t>de</w:t>
            </w: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 + nom)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dont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dont</w:t>
            </w:r>
          </w:p>
        </w:tc>
      </w:tr>
      <w:tr w:rsidR="00751F65" w:rsidRPr="00751F65" w:rsidTr="00751F65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complément circonstanciel de lieu ou de temps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–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51F65" w:rsidRPr="00751F65" w:rsidRDefault="00751F65" w:rsidP="0075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</w:pPr>
            <w:r w:rsidRPr="00751F6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fr-FR"/>
              </w:rPr>
              <w:t>où</w:t>
            </w:r>
          </w:p>
        </w:tc>
      </w:tr>
    </w:tbl>
    <w:p w:rsidR="00751F65" w:rsidRPr="00751F65" w:rsidRDefault="00751F65" w:rsidP="00751F65">
      <w:pPr>
        <w:spacing w:after="0" w:line="336" w:lineRule="atLeast"/>
        <w:ind w:left="75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Exemples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Antoine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porte des lunettes. → Antoine,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qui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porte des lunettes,…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Antoine porte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des lunettes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. → Les lunettes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qu’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Antoine porte…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d’Antoine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sont neuves. → Antoine,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dont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les lunettes sont neuves,…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Antoine a acheté ses lunettes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dans un magasin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. → Le magasin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où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Antoine a acheté ses lunettes…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Ordre des mots dans la subordonnée</w:t>
      </w:r>
    </w:p>
    <w:p w:rsidR="00751F65" w:rsidRPr="00751F65" w:rsidRDefault="00751F65" w:rsidP="00751F65">
      <w:pPr>
        <w:numPr>
          <w:ilvl w:val="0"/>
          <w:numId w:val="2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se rapporte au sujet de la phrase, la structure est toujours la suivante : pronom relatif + verbe + complément.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Lucas et Antoine qui jouent toujours ensemble…</w:t>
      </w:r>
    </w:p>
    <w:p w:rsidR="00751F65" w:rsidRPr="00751F65" w:rsidRDefault="00751F65" w:rsidP="00751F65">
      <w:pPr>
        <w:numPr>
          <w:ilvl w:val="0"/>
          <w:numId w:val="3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autres cas, la structure est la suivante : pronom relatif + sujet + verbe.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 qu’Antoine porte…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 que tu portes…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 dont Antoine est fier…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lunettes dont il est fier…</w:t>
      </w:r>
    </w:p>
    <w:p w:rsidR="00751F65" w:rsidRPr="00751F65" w:rsidRDefault="00751F65" w:rsidP="00751F65">
      <w:pPr>
        <w:spacing w:before="225" w:after="120" w:line="240" w:lineRule="auto"/>
        <w:ind w:right="450"/>
        <w:outlineLvl w:val="2"/>
        <w:rPr>
          <w:rFonts w:ascii="Arial" w:eastAsia="Times New Roman" w:hAnsi="Arial" w:cs="Arial"/>
          <w:color w:val="004C97"/>
          <w:sz w:val="27"/>
          <w:szCs w:val="27"/>
          <w:lang w:eastAsia="fr-FR"/>
        </w:rPr>
      </w:pP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Le pronom relatif </w:t>
      </w:r>
      <w:r w:rsidRPr="00751F65">
        <w:rPr>
          <w:rFonts w:ascii="Arial" w:eastAsia="Times New Roman" w:hAnsi="Arial" w:cs="Arial"/>
          <w:i/>
          <w:iCs/>
          <w:color w:val="004C97"/>
          <w:sz w:val="27"/>
          <w:szCs w:val="27"/>
          <w:lang w:eastAsia="fr-FR"/>
        </w:rPr>
        <w:t>lequel</w:t>
      </w:r>
      <w:r w:rsidRPr="00751F65">
        <w:rPr>
          <w:rFonts w:ascii="Arial" w:eastAsia="Times New Roman" w:hAnsi="Arial" w:cs="Arial"/>
          <w:color w:val="004C97"/>
          <w:sz w:val="27"/>
          <w:szCs w:val="27"/>
          <w:lang w:eastAsia="fr-FR"/>
        </w:rPr>
        <w:t> et ses composés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En plus des pronoms relatifs invariables cités précédemment, on trouve un autre pronom relatif :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lequel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. Lorsque celui-ci est employé avec les préposition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à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et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formes se contractent (voir explications ci-dessous).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Lequel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 et ses formes composées s’accordent en genre et en nombre avec le nom ou pronom qu’ils remplacent. Ils sont employés après certaines prépositions ou à la place d’un autre pronom qui rendrait le sens de la phrase peu clair.</w:t>
      </w:r>
    </w:p>
    <w:p w:rsidR="00751F65" w:rsidRPr="00751F65" w:rsidRDefault="00751F65" w:rsidP="00751F65">
      <w:pPr>
        <w:numPr>
          <w:ilvl w:val="0"/>
          <w:numId w:val="4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lequel - laquelle - lesquels - lesquelles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Les amis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avec lesquels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je joue…</w:t>
      </w:r>
    </w:p>
    <w:p w:rsidR="00751F65" w:rsidRPr="00751F65" w:rsidRDefault="00751F65" w:rsidP="00751F65">
      <w:pPr>
        <w:numPr>
          <w:ilvl w:val="0"/>
          <w:numId w:val="4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(à + lequel) auquel - à laquelle - auxquels - auxquelles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La fille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à laquelle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Léonie donne un biscuit…</w:t>
      </w:r>
    </w:p>
    <w:p w:rsidR="00751F65" w:rsidRPr="00751F65" w:rsidRDefault="00751F65" w:rsidP="00751F65">
      <w:pPr>
        <w:numPr>
          <w:ilvl w:val="0"/>
          <w:numId w:val="4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(de + lequel) duquel - de laquelle - desquels- desquelles</w:t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Le frère de Léonie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duquel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je t'ai parlé…</w:t>
      </w:r>
    </w:p>
    <w:p w:rsidR="00751F65" w:rsidRPr="00751F65" w:rsidRDefault="00751F65" w:rsidP="00751F65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4C97"/>
          <w:sz w:val="36"/>
          <w:szCs w:val="36"/>
          <w:lang w:eastAsia="fr-FR"/>
        </w:rPr>
      </w:pPr>
      <w:r w:rsidRPr="00751F65">
        <w:rPr>
          <w:rFonts w:ascii="Arial" w:eastAsia="Times New Roman" w:hAnsi="Arial" w:cs="Arial"/>
          <w:color w:val="004C97"/>
          <w:sz w:val="36"/>
          <w:szCs w:val="36"/>
          <w:lang w:eastAsia="fr-FR"/>
        </w:rPr>
        <w:t>Quand employer le subjonctif dans la relative ?</w:t>
      </w:r>
    </w:p>
    <w:p w:rsidR="00751F65" w:rsidRPr="00751F65" w:rsidRDefault="00751F65" w:rsidP="0075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Il faut parfois employer le subjonctif dans la proposition subordonnée relative. C'est le cas lorsque la relative…</w:t>
      </w:r>
    </w:p>
    <w:p w:rsidR="00751F65" w:rsidRPr="00751F65" w:rsidRDefault="00751F65" w:rsidP="00751F65">
      <w:pPr>
        <w:numPr>
          <w:ilvl w:val="0"/>
          <w:numId w:val="5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vient après une négation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Il </w:t>
      </w: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n’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y a </w:t>
      </w: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pas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d'amie qui me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comprenne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comme Léonie.</w:t>
      </w:r>
    </w:p>
    <w:p w:rsidR="00751F65" w:rsidRPr="00751F65" w:rsidRDefault="00751F65" w:rsidP="00751F65">
      <w:pPr>
        <w:numPr>
          <w:ilvl w:val="0"/>
          <w:numId w:val="5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vient après un superlatif ou une expression comme </w:t>
      </w:r>
      <w:r w:rsidRPr="00751F6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premier, le dernier, le seul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Elle est </w:t>
      </w: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la seule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à qui je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puisse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parler sans crainte.</w:t>
      </w:r>
    </w:p>
    <w:p w:rsidR="00751F65" w:rsidRPr="00751F65" w:rsidRDefault="00751F65" w:rsidP="00751F65">
      <w:pPr>
        <w:numPr>
          <w:ilvl w:val="0"/>
          <w:numId w:val="5"/>
        </w:numPr>
        <w:spacing w:before="75" w:after="180" w:line="240" w:lineRule="auto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t>exprime un souhait, un but ou une conséquence</w:t>
      </w:r>
      <w:r w:rsidRPr="0075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51F65" w:rsidRPr="00751F65" w:rsidRDefault="00751F65" w:rsidP="00751F65">
      <w:pPr>
        <w:spacing w:after="0" w:line="336" w:lineRule="atLeast"/>
        <w:ind w:left="720"/>
        <w:jc w:val="right"/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Exemple :</w:t>
      </w:r>
    </w:p>
    <w:p w:rsidR="00751F65" w:rsidRPr="00751F65" w:rsidRDefault="00751F65" w:rsidP="00751F65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</w:pPr>
      <w:r w:rsidRPr="00751F65">
        <w:rPr>
          <w:rFonts w:ascii="Times New Roman" w:eastAsia="Times New Roman" w:hAnsi="Times New Roman" w:cs="Times New Roman"/>
          <w:i/>
          <w:iCs/>
          <w:color w:val="004C97"/>
          <w:sz w:val="24"/>
          <w:szCs w:val="24"/>
          <w:lang w:eastAsia="fr-FR"/>
        </w:rPr>
        <w:t>Je voudrais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un vélo qui me 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fr-FR"/>
        </w:rPr>
        <w:t>permette</w:t>
      </w:r>
      <w:r w:rsidRPr="00751F65">
        <w:rPr>
          <w:rFonts w:ascii="Times New Roman" w:eastAsia="Times New Roman" w:hAnsi="Times New Roman" w:cs="Times New Roman"/>
          <w:color w:val="004C97"/>
          <w:sz w:val="24"/>
          <w:szCs w:val="24"/>
          <w:lang w:eastAsia="fr-FR"/>
        </w:rPr>
        <w:t> de lui rendre visite.</w:t>
      </w:r>
    </w:p>
    <w:p w:rsidR="0043018E" w:rsidRDefault="0043018E"/>
    <w:sectPr w:rsidR="0043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66B"/>
    <w:multiLevelType w:val="multilevel"/>
    <w:tmpl w:val="9AA4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73B43"/>
    <w:multiLevelType w:val="multilevel"/>
    <w:tmpl w:val="95E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17B23"/>
    <w:multiLevelType w:val="multilevel"/>
    <w:tmpl w:val="9F1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2176F"/>
    <w:multiLevelType w:val="multilevel"/>
    <w:tmpl w:val="73F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5011A"/>
    <w:multiLevelType w:val="multilevel"/>
    <w:tmpl w:val="F450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65"/>
    <w:rsid w:val="0043018E"/>
    <w:rsid w:val="0046780D"/>
    <w:rsid w:val="006B71B6"/>
    <w:rsid w:val="0075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52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01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50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21165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53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1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0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0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ais.lingolia.com/fr/atelier-decriture/la-ponctuation/la-virgu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ancais.lingolia.com/fr/grammaire/les-pron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ais.lingolia.com/fr/grammaire/nom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</dc:creator>
  <cp:lastModifiedBy>dell</cp:lastModifiedBy>
  <cp:revision>2</cp:revision>
  <dcterms:created xsi:type="dcterms:W3CDTF">2024-02-01T04:15:00Z</dcterms:created>
  <dcterms:modified xsi:type="dcterms:W3CDTF">2024-02-01T04:15:00Z</dcterms:modified>
</cp:coreProperties>
</file>