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162F1D">
        <w:rPr>
          <w:rFonts w:asciiTheme="majorBidi" w:hAnsiTheme="majorBidi" w:cstheme="majorBidi"/>
          <w:b/>
          <w:bCs/>
          <w:color w:val="000000"/>
          <w:sz w:val="28"/>
          <w:szCs w:val="28"/>
        </w:rPr>
        <w:t>Aumassip</w:t>
      </w:r>
      <w:proofErr w:type="spellEnd"/>
      <w:r w:rsidRPr="00162F1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G. </w:t>
      </w:r>
      <w:r w:rsidRPr="00162F1D">
        <w:rPr>
          <w:rFonts w:asciiTheme="majorBidi" w:hAnsiTheme="majorBidi" w:cstheme="majorBidi"/>
          <w:color w:val="000000"/>
          <w:sz w:val="28"/>
          <w:szCs w:val="28"/>
        </w:rPr>
        <w:t xml:space="preserve">1987 Le Néolithique en Algérie : état de la question. </w:t>
      </w:r>
      <w:r w:rsidRPr="00162F1D">
        <w:rPr>
          <w:rFonts w:asciiTheme="majorBidi" w:hAnsiTheme="majorBidi" w:cstheme="majorBidi"/>
          <w:i/>
          <w:iCs/>
          <w:color w:val="000000"/>
          <w:sz w:val="28"/>
          <w:szCs w:val="28"/>
        </w:rPr>
        <w:t>L’Anthropologie</w:t>
      </w:r>
      <w:r w:rsidRPr="00162F1D">
        <w:rPr>
          <w:rFonts w:asciiTheme="majorBidi" w:hAnsiTheme="majorBidi" w:cstheme="majorBidi"/>
          <w:color w:val="000000"/>
          <w:sz w:val="28"/>
          <w:szCs w:val="28"/>
        </w:rPr>
        <w:t>, t. 91, n</w:t>
      </w:r>
      <w:r w:rsidRPr="00162F1D">
        <w:rPr>
          <w:rFonts w:asciiTheme="majorBidi" w:hAnsiTheme="majorBidi" w:cstheme="majorBidi"/>
          <w:color w:val="000000"/>
          <w:position w:val="10"/>
          <w:sz w:val="28"/>
          <w:szCs w:val="28"/>
          <w:vertAlign w:val="superscript"/>
        </w:rPr>
        <w:t xml:space="preserve">0 </w:t>
      </w:r>
      <w:r w:rsidRPr="00162F1D">
        <w:rPr>
          <w:rFonts w:asciiTheme="majorBidi" w:hAnsiTheme="majorBidi" w:cstheme="majorBidi"/>
          <w:color w:val="000000"/>
          <w:sz w:val="28"/>
          <w:szCs w:val="28"/>
        </w:rPr>
        <w:t xml:space="preserve">2, pp. 585-622.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62F1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Bachir Bacha, A. </w:t>
      </w:r>
      <w:r w:rsidRPr="00162F1D">
        <w:rPr>
          <w:rFonts w:asciiTheme="majorBidi" w:hAnsiTheme="majorBidi" w:cstheme="majorBidi"/>
          <w:color w:val="000000"/>
          <w:sz w:val="28"/>
          <w:szCs w:val="28"/>
        </w:rPr>
        <w:t xml:space="preserve">2000 Nouvelle contribution à la compréhension du Néolithique de l’Algérie orientale : le matériel archéologique de la grotte </w:t>
      </w:r>
      <w:proofErr w:type="spellStart"/>
      <w:r w:rsidRPr="00162F1D">
        <w:rPr>
          <w:rFonts w:asciiTheme="majorBidi" w:hAnsiTheme="majorBidi" w:cstheme="majorBidi"/>
          <w:color w:val="000000"/>
          <w:sz w:val="28"/>
          <w:szCs w:val="28"/>
        </w:rPr>
        <w:t>Capéletti</w:t>
      </w:r>
      <w:proofErr w:type="spellEnd"/>
      <w:r w:rsidRPr="00162F1D">
        <w:rPr>
          <w:rFonts w:asciiTheme="majorBidi" w:hAnsiTheme="majorBidi" w:cstheme="majorBidi"/>
          <w:color w:val="000000"/>
          <w:sz w:val="28"/>
          <w:szCs w:val="28"/>
        </w:rPr>
        <w:t xml:space="preserve">, collection Thérèse Rivière. </w:t>
      </w:r>
      <w:r w:rsidRPr="00162F1D">
        <w:rPr>
          <w:rFonts w:asciiTheme="majorBidi" w:hAnsiTheme="majorBidi" w:cstheme="majorBidi"/>
          <w:i/>
          <w:iCs/>
          <w:color w:val="000000"/>
          <w:sz w:val="28"/>
          <w:szCs w:val="28"/>
        </w:rPr>
        <w:t>L’Anthropologie</w:t>
      </w:r>
      <w:r w:rsidRPr="00162F1D">
        <w:rPr>
          <w:rFonts w:asciiTheme="majorBidi" w:hAnsiTheme="majorBidi" w:cstheme="majorBidi"/>
          <w:color w:val="000000"/>
          <w:sz w:val="28"/>
          <w:szCs w:val="28"/>
        </w:rPr>
        <w:t xml:space="preserve">, t. 104, pp. 301-340.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62F1D">
        <w:rPr>
          <w:rFonts w:asciiTheme="majorBidi" w:hAnsiTheme="majorBidi" w:cstheme="majorBidi"/>
          <w:color w:val="000000"/>
          <w:sz w:val="28"/>
          <w:szCs w:val="28"/>
        </w:rPr>
        <w:t xml:space="preserve">1950 Le peuplement préhistorique de l’Algérie. </w:t>
      </w:r>
      <w:r w:rsidRPr="00162F1D">
        <w:rPr>
          <w:rFonts w:asciiTheme="majorBidi" w:hAnsiTheme="majorBidi" w:cstheme="majorBidi"/>
          <w:i/>
          <w:iCs/>
          <w:color w:val="000000"/>
          <w:sz w:val="28"/>
          <w:szCs w:val="28"/>
        </w:rPr>
        <w:t>Documents algériens</w:t>
      </w:r>
      <w:r w:rsidRPr="00162F1D">
        <w:rPr>
          <w:rFonts w:asciiTheme="majorBidi" w:hAnsiTheme="majorBidi" w:cstheme="majorBidi"/>
          <w:color w:val="000000"/>
          <w:sz w:val="28"/>
          <w:szCs w:val="28"/>
        </w:rPr>
        <w:t xml:space="preserve">, Service Culturel, n° 50.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162F1D">
        <w:rPr>
          <w:rFonts w:asciiTheme="majorBidi" w:hAnsiTheme="majorBidi" w:cstheme="majorBidi"/>
          <w:b/>
          <w:bCs/>
          <w:color w:val="000000"/>
          <w:sz w:val="28"/>
          <w:szCs w:val="28"/>
        </w:rPr>
        <w:t>Balout</w:t>
      </w:r>
      <w:proofErr w:type="spellEnd"/>
      <w:r w:rsidRPr="00162F1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L. </w:t>
      </w:r>
      <w:r w:rsidRPr="00162F1D">
        <w:rPr>
          <w:rFonts w:asciiTheme="majorBidi" w:hAnsiTheme="majorBidi" w:cstheme="majorBidi"/>
          <w:color w:val="000000"/>
          <w:sz w:val="28"/>
          <w:szCs w:val="28"/>
        </w:rPr>
        <w:t xml:space="preserve">1949 Découverte d’un squelette humain préhistorique dans la région de Tébessa. </w:t>
      </w:r>
      <w:r w:rsidRPr="00162F1D">
        <w:rPr>
          <w:rFonts w:asciiTheme="majorBidi" w:hAnsiTheme="majorBidi" w:cstheme="majorBidi"/>
          <w:i/>
          <w:iCs/>
          <w:color w:val="000000"/>
          <w:sz w:val="28"/>
          <w:szCs w:val="28"/>
        </w:rPr>
        <w:t>Bulletin de la Société d’Histoire Naturelle de l’Afrique du Nord</w:t>
      </w:r>
      <w:r w:rsidRPr="00162F1D">
        <w:rPr>
          <w:rFonts w:asciiTheme="majorBidi" w:hAnsiTheme="majorBidi" w:cstheme="majorBidi"/>
          <w:color w:val="000000"/>
          <w:sz w:val="28"/>
          <w:szCs w:val="28"/>
        </w:rPr>
        <w:t xml:space="preserve">, t. XL, pp. 193-195.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62F1D">
        <w:rPr>
          <w:rFonts w:asciiTheme="majorBidi" w:hAnsiTheme="majorBidi" w:cstheme="majorBidi"/>
          <w:color w:val="000000"/>
          <w:sz w:val="28"/>
          <w:szCs w:val="28"/>
        </w:rPr>
        <w:t xml:space="preserve">1950 Le peuplement préhistorique de l’Algérie. </w:t>
      </w:r>
      <w:r w:rsidRPr="00162F1D">
        <w:rPr>
          <w:rFonts w:asciiTheme="majorBidi" w:hAnsiTheme="majorBidi" w:cstheme="majorBidi"/>
          <w:i/>
          <w:iCs/>
          <w:color w:val="000000"/>
          <w:sz w:val="28"/>
          <w:szCs w:val="28"/>
        </w:rPr>
        <w:t>Documents algériens</w:t>
      </w:r>
      <w:r w:rsidRPr="00162F1D">
        <w:rPr>
          <w:rFonts w:asciiTheme="majorBidi" w:hAnsiTheme="majorBidi" w:cstheme="majorBidi"/>
          <w:color w:val="000000"/>
          <w:sz w:val="28"/>
          <w:szCs w:val="28"/>
        </w:rPr>
        <w:t xml:space="preserve">, Service Culturel, n° 50.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Binder D. &amp; </w:t>
      </w: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Perlès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 C. avec la </w:t>
      </w: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collab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gramStart"/>
      <w:r w:rsidRPr="00162F1D">
        <w:rPr>
          <w:rFonts w:asciiTheme="majorBidi" w:hAnsiTheme="majorBidi" w:cstheme="majorBidi"/>
          <w:b/>
          <w:bCs/>
          <w:sz w:val="28"/>
          <w:szCs w:val="28"/>
        </w:rPr>
        <w:t>de</w:t>
      </w:r>
      <w:proofErr w:type="gram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Inizan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 M.-L. &amp; M. </w:t>
      </w: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Lechevallier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1990 Stratégies de gestion des outillages lithiques au néolithique.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>Paléo</w:t>
      </w:r>
      <w:r w:rsidRPr="00162F1D">
        <w:rPr>
          <w:rFonts w:asciiTheme="majorBidi" w:hAnsiTheme="majorBidi" w:cstheme="majorBidi"/>
          <w:sz w:val="28"/>
          <w:szCs w:val="28"/>
        </w:rPr>
        <w:t xml:space="preserve">, n° 2, pp. 257-283.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Braidwood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, R.J. </w:t>
      </w:r>
      <w:r w:rsidRPr="00162F1D">
        <w:rPr>
          <w:rFonts w:asciiTheme="majorBidi" w:hAnsiTheme="majorBidi" w:cstheme="majorBidi"/>
          <w:sz w:val="28"/>
          <w:szCs w:val="28"/>
        </w:rPr>
        <w:t xml:space="preserve">1960 The agricultural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revolution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162F1D">
        <w:rPr>
          <w:rFonts w:asciiTheme="majorBidi" w:hAnsiTheme="majorBidi" w:cstheme="majorBidi"/>
          <w:i/>
          <w:iCs/>
          <w:sz w:val="28"/>
          <w:szCs w:val="28"/>
        </w:rPr>
        <w:t>Scientific</w:t>
      </w:r>
      <w:proofErr w:type="spellEnd"/>
      <w:r w:rsidRPr="00162F1D">
        <w:rPr>
          <w:rFonts w:asciiTheme="majorBidi" w:hAnsiTheme="majorBidi" w:cstheme="majorBidi"/>
          <w:i/>
          <w:iCs/>
          <w:sz w:val="28"/>
          <w:szCs w:val="28"/>
        </w:rPr>
        <w:t xml:space="preserve"> American</w:t>
      </w:r>
      <w:r w:rsidRPr="00162F1D">
        <w:rPr>
          <w:rFonts w:asciiTheme="majorBidi" w:hAnsiTheme="majorBidi" w:cstheme="majorBidi"/>
          <w:sz w:val="28"/>
          <w:szCs w:val="28"/>
        </w:rPr>
        <w:t>, vol. 203, n</w:t>
      </w:r>
      <w:r w:rsidRPr="00162F1D">
        <w:rPr>
          <w:rFonts w:asciiTheme="majorBidi" w:hAnsiTheme="majorBidi" w:cstheme="majorBidi"/>
          <w:position w:val="10"/>
          <w:sz w:val="28"/>
          <w:szCs w:val="28"/>
          <w:vertAlign w:val="superscript"/>
        </w:rPr>
        <w:t xml:space="preserve">0 </w:t>
      </w:r>
      <w:r w:rsidRPr="00162F1D">
        <w:rPr>
          <w:rFonts w:asciiTheme="majorBidi" w:hAnsiTheme="majorBidi" w:cstheme="majorBidi"/>
          <w:sz w:val="28"/>
          <w:szCs w:val="28"/>
        </w:rPr>
        <w:t xml:space="preserve">3, pp. 130-148.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Brezillon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, M. &amp; N. </w:t>
      </w: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Chavaillon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62F1D">
        <w:rPr>
          <w:rFonts w:asciiTheme="majorBidi" w:hAnsiTheme="majorBidi" w:cstheme="majorBidi"/>
          <w:sz w:val="28"/>
          <w:szCs w:val="28"/>
        </w:rPr>
        <w:t>1966 «XO, La Touffe», un habitat néolithique près d'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Hassi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Messaoud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>. C.F.P., Paris.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Camps, G. </w:t>
      </w:r>
      <w:r w:rsidRPr="00162F1D">
        <w:rPr>
          <w:rFonts w:asciiTheme="majorBidi" w:hAnsiTheme="majorBidi" w:cstheme="majorBidi"/>
          <w:sz w:val="28"/>
          <w:szCs w:val="28"/>
        </w:rPr>
        <w:t xml:space="preserve">1967 Le Néolithique de tradition capsienne au Sahara.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>Travaux de l'Institut de Recherches Sahariennes</w:t>
      </w:r>
      <w:r w:rsidRPr="00162F1D">
        <w:rPr>
          <w:rFonts w:asciiTheme="majorBidi" w:hAnsiTheme="majorBidi" w:cstheme="majorBidi"/>
          <w:sz w:val="28"/>
          <w:szCs w:val="28"/>
        </w:rPr>
        <w:t xml:space="preserve">, t. XXVI.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1968a Tableau chronologique de la Préhistoire récente du nord de l’Afrique. Première synthèse des datations obtenues par le carbone 14.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 xml:space="preserve">Bulletin de la Société Préhistorique Française, </w:t>
      </w:r>
      <w:r w:rsidRPr="00162F1D">
        <w:rPr>
          <w:rFonts w:asciiTheme="majorBidi" w:hAnsiTheme="majorBidi" w:cstheme="majorBidi"/>
          <w:sz w:val="28"/>
          <w:szCs w:val="28"/>
        </w:rPr>
        <w:t>t. 65, pp. 609-622.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1968b Le Capsien supérieur, état de la question.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>In : La Préhistoire ; Problèmes et tendances</w:t>
      </w:r>
      <w:r w:rsidRPr="00162F1D">
        <w:rPr>
          <w:rFonts w:asciiTheme="majorBidi" w:hAnsiTheme="majorBidi" w:cstheme="majorBidi"/>
          <w:sz w:val="28"/>
          <w:szCs w:val="28"/>
        </w:rPr>
        <w:t xml:space="preserve">. Paris : Éd. C.N.R.S., pp. 87-101.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lastRenderedPageBreak/>
        <w:t xml:space="preserve">1974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>Les Civilisations préhistoriques de l’Afrique du Nord et du Sahara</w:t>
      </w:r>
      <w:r w:rsidRPr="00162F1D">
        <w:rPr>
          <w:rFonts w:asciiTheme="majorBidi" w:hAnsiTheme="majorBidi" w:cstheme="majorBidi"/>
          <w:sz w:val="28"/>
          <w:szCs w:val="28"/>
        </w:rPr>
        <w:t xml:space="preserve">. Paris :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Doin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, 366 p.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1983 L’Afrique du Nord avant la révolution néolithique. </w:t>
      </w:r>
      <w:proofErr w:type="spellStart"/>
      <w:r w:rsidRPr="00162F1D">
        <w:rPr>
          <w:rFonts w:asciiTheme="majorBidi" w:hAnsiTheme="majorBidi" w:cstheme="majorBidi"/>
          <w:i/>
          <w:iCs/>
          <w:sz w:val="28"/>
          <w:szCs w:val="28"/>
        </w:rPr>
        <w:t>Archéologia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, n° 184, pp. 42-54.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Camps, G., </w:t>
      </w: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Délibrias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, G. &amp; J. </w:t>
      </w: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Thommeret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62F1D">
        <w:rPr>
          <w:rFonts w:asciiTheme="majorBidi" w:hAnsiTheme="majorBidi" w:cstheme="majorBidi"/>
          <w:sz w:val="28"/>
          <w:szCs w:val="28"/>
        </w:rPr>
        <w:t xml:space="preserve">1968 Chronologie absolue et succession des civilisations préhistoriques dans le Nord de l’Afrique. </w:t>
      </w:r>
      <w:proofErr w:type="spellStart"/>
      <w:r w:rsidRPr="00162F1D">
        <w:rPr>
          <w:rFonts w:asciiTheme="majorBidi" w:hAnsiTheme="majorBidi" w:cstheme="majorBidi"/>
          <w:i/>
          <w:iCs/>
          <w:sz w:val="28"/>
          <w:szCs w:val="28"/>
        </w:rPr>
        <w:t>Libyca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, t. 16, pp. 9-28.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1973 Chronologie des civilisations préhistoriques du Nord de l’Afrique d’après le radiocarbone. </w:t>
      </w:r>
      <w:proofErr w:type="spellStart"/>
      <w:r w:rsidRPr="00162F1D">
        <w:rPr>
          <w:rFonts w:asciiTheme="majorBidi" w:hAnsiTheme="majorBidi" w:cstheme="majorBidi"/>
          <w:i/>
          <w:iCs/>
          <w:sz w:val="28"/>
          <w:szCs w:val="28"/>
        </w:rPr>
        <w:t>Libyca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, t. 21, pp. 65-90.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Camps, G. &amp; J. Morel </w:t>
      </w:r>
      <w:r w:rsidRPr="00162F1D">
        <w:rPr>
          <w:rFonts w:asciiTheme="majorBidi" w:hAnsiTheme="majorBidi" w:cstheme="majorBidi"/>
          <w:sz w:val="28"/>
          <w:szCs w:val="28"/>
        </w:rPr>
        <w:t xml:space="preserve">1983 Recherches sur l’alimentation en Afrique du Nord durant les temps épipaléolithiques.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>Bulletin de la Société d’Études et Recherches Préhistoriques</w:t>
      </w:r>
      <w:r w:rsidRPr="00162F1D">
        <w:rPr>
          <w:rFonts w:asciiTheme="majorBidi" w:hAnsiTheme="majorBidi" w:cstheme="majorBidi"/>
          <w:sz w:val="28"/>
          <w:szCs w:val="28"/>
        </w:rPr>
        <w:t xml:space="preserve">, Les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Eyzies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>, travaux de 1982, n</w:t>
      </w:r>
      <w:r w:rsidRPr="00162F1D">
        <w:rPr>
          <w:rFonts w:asciiTheme="majorBidi" w:hAnsiTheme="majorBidi" w:cstheme="majorBidi"/>
          <w:position w:val="10"/>
          <w:sz w:val="28"/>
          <w:szCs w:val="28"/>
          <w:vertAlign w:val="superscript"/>
        </w:rPr>
        <w:t xml:space="preserve">o </w:t>
      </w:r>
      <w:r w:rsidRPr="00162F1D">
        <w:rPr>
          <w:rFonts w:asciiTheme="majorBidi" w:hAnsiTheme="majorBidi" w:cstheme="majorBidi"/>
          <w:sz w:val="28"/>
          <w:szCs w:val="28"/>
        </w:rPr>
        <w:t xml:space="preserve">32, pp. 37-48.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b/>
          <w:bCs/>
          <w:sz w:val="28"/>
          <w:szCs w:val="28"/>
        </w:rPr>
        <w:t>Camps-</w:t>
      </w: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Fabrer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, H. </w:t>
      </w:r>
      <w:r w:rsidRPr="00162F1D">
        <w:rPr>
          <w:rFonts w:asciiTheme="majorBidi" w:hAnsiTheme="majorBidi" w:cstheme="majorBidi"/>
          <w:sz w:val="28"/>
          <w:szCs w:val="28"/>
        </w:rPr>
        <w:t xml:space="preserve">1959 Nouvelles pierres gravées de la zone capsienne.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>In : XVIème Congrès Préhistorique de France</w:t>
      </w:r>
      <w:r w:rsidRPr="00162F1D">
        <w:rPr>
          <w:rFonts w:asciiTheme="majorBidi" w:hAnsiTheme="majorBidi" w:cstheme="majorBidi"/>
          <w:sz w:val="28"/>
          <w:szCs w:val="28"/>
        </w:rPr>
        <w:t xml:space="preserve">, Monaco, pp.338-345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1960 Parures des temps préhistoriques en Afrique du Nord. </w:t>
      </w:r>
      <w:proofErr w:type="spellStart"/>
      <w:r w:rsidRPr="00162F1D">
        <w:rPr>
          <w:rFonts w:asciiTheme="majorBidi" w:hAnsiTheme="majorBidi" w:cstheme="majorBidi"/>
          <w:i/>
          <w:iCs/>
          <w:sz w:val="28"/>
          <w:szCs w:val="28"/>
        </w:rPr>
        <w:t>Libyca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, t. 8, pp. 9-218.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1961-62 Figurations animales dans l’art mobilier préhistorique d’Afrique du Nord. </w:t>
      </w:r>
      <w:proofErr w:type="spellStart"/>
      <w:r w:rsidRPr="00162F1D">
        <w:rPr>
          <w:rFonts w:asciiTheme="majorBidi" w:hAnsiTheme="majorBidi" w:cstheme="majorBidi"/>
          <w:i/>
          <w:iCs/>
          <w:sz w:val="28"/>
          <w:szCs w:val="28"/>
        </w:rPr>
        <w:t>Libyca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, t. 9-10, pp. 101-113.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1963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>La disparition de l'autruche en Afrique du Nord</w:t>
      </w:r>
      <w:r w:rsidRPr="00162F1D">
        <w:rPr>
          <w:rFonts w:asciiTheme="majorBidi" w:hAnsiTheme="majorBidi" w:cstheme="majorBidi"/>
          <w:sz w:val="28"/>
          <w:szCs w:val="28"/>
        </w:rPr>
        <w:t xml:space="preserve">. Travaux du C.R.A.P.E, Alger, 110 p.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1966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>Matières et Art mobilier dans la Préhistoire nord-africaine et saharienne</w:t>
      </w:r>
      <w:r w:rsidRPr="00162F1D">
        <w:rPr>
          <w:rFonts w:asciiTheme="majorBidi" w:hAnsiTheme="majorBidi" w:cstheme="majorBidi"/>
          <w:sz w:val="28"/>
          <w:szCs w:val="28"/>
        </w:rPr>
        <w:t xml:space="preserve">. Mémoire du C.R.A.P.E. n° 5, 557p.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1975a Le faciès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Sétifien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 du Capsien supérieur. L’Épipaléolithique Méditerranéen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>. In : Colloque International, Aix-en-Provence</w:t>
      </w:r>
      <w:r w:rsidRPr="00162F1D">
        <w:rPr>
          <w:rFonts w:asciiTheme="majorBidi" w:hAnsiTheme="majorBidi" w:cstheme="majorBidi"/>
          <w:sz w:val="28"/>
          <w:szCs w:val="28"/>
        </w:rPr>
        <w:t xml:space="preserve">, juin 1972, pp. 127-150.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1975b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 xml:space="preserve">Un gisement Capsien de faciès </w:t>
      </w:r>
      <w:proofErr w:type="spellStart"/>
      <w:r w:rsidRPr="00162F1D">
        <w:rPr>
          <w:rFonts w:asciiTheme="majorBidi" w:hAnsiTheme="majorBidi" w:cstheme="majorBidi"/>
          <w:i/>
          <w:iCs/>
          <w:sz w:val="28"/>
          <w:szCs w:val="28"/>
        </w:rPr>
        <w:t>sétifien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162F1D">
        <w:rPr>
          <w:rFonts w:asciiTheme="majorBidi" w:hAnsiTheme="majorBidi" w:cstheme="majorBidi"/>
          <w:i/>
          <w:iCs/>
          <w:sz w:val="28"/>
          <w:szCs w:val="28"/>
        </w:rPr>
        <w:t>Medjez</w:t>
      </w:r>
      <w:proofErr w:type="spellEnd"/>
      <w:r w:rsidRPr="00162F1D">
        <w:rPr>
          <w:rFonts w:asciiTheme="majorBidi" w:hAnsiTheme="majorBidi" w:cstheme="majorBidi"/>
          <w:i/>
          <w:iCs/>
          <w:sz w:val="28"/>
          <w:szCs w:val="28"/>
        </w:rPr>
        <w:t xml:space="preserve"> II, El-Eulma (Algérie), </w:t>
      </w:r>
      <w:r w:rsidRPr="00162F1D">
        <w:rPr>
          <w:rFonts w:asciiTheme="majorBidi" w:hAnsiTheme="majorBidi" w:cstheme="majorBidi"/>
          <w:sz w:val="28"/>
          <w:szCs w:val="28"/>
        </w:rPr>
        <w:t xml:space="preserve">Paris : Éd. C.N.R.S, 448 p.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lastRenderedPageBreak/>
        <w:t xml:space="preserve">1989 Capsien du Maghreb et Natoufien du Proche Orient.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>Travaux du L.A.P.M.O</w:t>
      </w:r>
      <w:r w:rsidRPr="00162F1D">
        <w:rPr>
          <w:rFonts w:asciiTheme="majorBidi" w:hAnsiTheme="majorBidi" w:cstheme="majorBidi"/>
          <w:sz w:val="28"/>
          <w:szCs w:val="28"/>
        </w:rPr>
        <w:t xml:space="preserve">., pp. 71-104.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Vernet, R. avec la </w:t>
      </w:r>
      <w:proofErr w:type="spellStart"/>
      <w:r w:rsidRPr="00162F1D">
        <w:rPr>
          <w:rFonts w:asciiTheme="majorBidi" w:hAnsiTheme="majorBidi" w:cstheme="majorBidi"/>
          <w:b/>
          <w:bCs/>
          <w:i/>
          <w:iCs/>
          <w:sz w:val="28"/>
          <w:szCs w:val="28"/>
        </w:rPr>
        <w:t>collab</w:t>
      </w:r>
      <w:proofErr w:type="spellEnd"/>
      <w:r w:rsidRPr="00162F1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. </w:t>
      </w:r>
      <w:proofErr w:type="gramStart"/>
      <w:r w:rsidRPr="00162F1D">
        <w:rPr>
          <w:rFonts w:asciiTheme="majorBidi" w:hAnsiTheme="majorBidi" w:cstheme="majorBidi"/>
          <w:b/>
          <w:bCs/>
          <w:sz w:val="28"/>
          <w:szCs w:val="28"/>
        </w:rPr>
        <w:t>de</w:t>
      </w:r>
      <w:proofErr w:type="gram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 G. </w:t>
      </w: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Aumassip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62F1D">
        <w:rPr>
          <w:rFonts w:asciiTheme="majorBidi" w:hAnsiTheme="majorBidi" w:cstheme="majorBidi"/>
          <w:sz w:val="28"/>
          <w:szCs w:val="28"/>
        </w:rPr>
        <w:t xml:space="preserve">1992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 xml:space="preserve">Le Sahara et ses marges. </w:t>
      </w:r>
      <w:proofErr w:type="spellStart"/>
      <w:r w:rsidRPr="00162F1D">
        <w:rPr>
          <w:rFonts w:asciiTheme="majorBidi" w:hAnsiTheme="majorBidi" w:cstheme="majorBidi"/>
          <w:i/>
          <w:iCs/>
          <w:sz w:val="28"/>
          <w:szCs w:val="28"/>
        </w:rPr>
        <w:t>Paléoenvironnements</w:t>
      </w:r>
      <w:proofErr w:type="spellEnd"/>
      <w:r w:rsidRPr="00162F1D">
        <w:rPr>
          <w:rFonts w:asciiTheme="majorBidi" w:hAnsiTheme="majorBidi" w:cstheme="majorBidi"/>
          <w:i/>
          <w:iCs/>
          <w:sz w:val="28"/>
          <w:szCs w:val="28"/>
        </w:rPr>
        <w:t xml:space="preserve"> et occupation humaine à l’Holocène. Inventaire des datations 14C</w:t>
      </w:r>
      <w:r w:rsidRPr="00162F1D">
        <w:rPr>
          <w:rFonts w:asciiTheme="majorBidi" w:hAnsiTheme="majorBidi" w:cstheme="majorBidi"/>
          <w:sz w:val="28"/>
          <w:szCs w:val="28"/>
        </w:rPr>
        <w:t>, 1</w:t>
      </w:r>
      <w:r w:rsidRPr="00162F1D">
        <w:rPr>
          <w:rFonts w:asciiTheme="majorBidi" w:hAnsiTheme="majorBidi" w:cstheme="majorBidi"/>
          <w:position w:val="10"/>
          <w:sz w:val="28"/>
          <w:szCs w:val="28"/>
          <w:vertAlign w:val="superscript"/>
        </w:rPr>
        <w:t xml:space="preserve">e </w:t>
      </w:r>
      <w:r w:rsidRPr="00162F1D">
        <w:rPr>
          <w:rFonts w:asciiTheme="majorBidi" w:hAnsiTheme="majorBidi" w:cstheme="majorBidi"/>
          <w:sz w:val="28"/>
          <w:szCs w:val="28"/>
        </w:rPr>
        <w:t xml:space="preserve">édition (jusqu’à 1989). Université de Niamey. Paris : Éd. CNRS, 107 p.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Vignard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, E. </w:t>
      </w:r>
      <w:r w:rsidRPr="00162F1D">
        <w:rPr>
          <w:rFonts w:asciiTheme="majorBidi" w:hAnsiTheme="majorBidi" w:cstheme="majorBidi"/>
          <w:sz w:val="28"/>
          <w:szCs w:val="28"/>
        </w:rPr>
        <w:t xml:space="preserve">1923 Une nouvelle industrie lithique : le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Sébilien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.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>Bulletin de l’Institut Français d’Archéologie Orientale</w:t>
      </w:r>
      <w:r w:rsidRPr="00162F1D">
        <w:rPr>
          <w:rFonts w:asciiTheme="majorBidi" w:hAnsiTheme="majorBidi" w:cstheme="majorBidi"/>
          <w:sz w:val="28"/>
          <w:szCs w:val="28"/>
        </w:rPr>
        <w:t xml:space="preserve">, t. XXII,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Separata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, 76 p.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1928 Une nouvelle industrie lithique : le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Sébilien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.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>Bulletin de la Société Préhistorique Française</w:t>
      </w:r>
      <w:r w:rsidRPr="00162F1D">
        <w:rPr>
          <w:rFonts w:asciiTheme="majorBidi" w:hAnsiTheme="majorBidi" w:cstheme="majorBidi"/>
          <w:sz w:val="28"/>
          <w:szCs w:val="28"/>
        </w:rPr>
        <w:t>, t. XXV, pp. 200-240.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62F1D">
        <w:rPr>
          <w:rFonts w:asciiTheme="majorBidi" w:hAnsiTheme="majorBidi" w:cstheme="majorBidi"/>
          <w:sz w:val="28"/>
          <w:szCs w:val="28"/>
        </w:rPr>
        <w:t xml:space="preserve">1934 Triangles et trapèzes du Capsien en connexion avec leurs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microburins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.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 xml:space="preserve">Bulletin de la Société Préhistorique Française, </w:t>
      </w:r>
      <w:r w:rsidRPr="00162F1D">
        <w:rPr>
          <w:rFonts w:asciiTheme="majorBidi" w:hAnsiTheme="majorBidi" w:cstheme="majorBidi"/>
          <w:sz w:val="28"/>
          <w:szCs w:val="28"/>
        </w:rPr>
        <w:t xml:space="preserve">t. 31, pp. 457-459. </w:t>
      </w: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Zilao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>, J. &amp; F. d'</w:t>
      </w:r>
      <w:proofErr w:type="spellStart"/>
      <w:r w:rsidRPr="00162F1D">
        <w:rPr>
          <w:rFonts w:asciiTheme="majorBidi" w:hAnsiTheme="majorBidi" w:cstheme="majorBidi"/>
          <w:b/>
          <w:bCs/>
          <w:sz w:val="28"/>
          <w:szCs w:val="28"/>
        </w:rPr>
        <w:t>Errico</w:t>
      </w:r>
      <w:proofErr w:type="spellEnd"/>
      <w:r w:rsidRPr="00162F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62F1D">
        <w:rPr>
          <w:rFonts w:asciiTheme="majorBidi" w:hAnsiTheme="majorBidi" w:cstheme="majorBidi"/>
          <w:sz w:val="28"/>
          <w:szCs w:val="28"/>
        </w:rPr>
        <w:t xml:space="preserve">1999 The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Chronology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Taphonomy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Earliest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Aurignacian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 Implications for the </w:t>
      </w:r>
      <w:proofErr w:type="spellStart"/>
      <w:r w:rsidRPr="00162F1D">
        <w:rPr>
          <w:rFonts w:asciiTheme="majorBidi" w:hAnsiTheme="majorBidi" w:cstheme="majorBidi"/>
          <w:sz w:val="28"/>
          <w:szCs w:val="28"/>
        </w:rPr>
        <w:t>Understanding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 xml:space="preserve"> of Neandertal Extinction. </w:t>
      </w:r>
      <w:r w:rsidRPr="00162F1D">
        <w:rPr>
          <w:rFonts w:asciiTheme="majorBidi" w:hAnsiTheme="majorBidi" w:cstheme="majorBidi"/>
          <w:i/>
          <w:iCs/>
          <w:sz w:val="28"/>
          <w:szCs w:val="28"/>
        </w:rPr>
        <w:t xml:space="preserve">Journal of World </w:t>
      </w:r>
      <w:proofErr w:type="spellStart"/>
      <w:r w:rsidRPr="00162F1D">
        <w:rPr>
          <w:rFonts w:asciiTheme="majorBidi" w:hAnsiTheme="majorBidi" w:cstheme="majorBidi"/>
          <w:i/>
          <w:iCs/>
          <w:sz w:val="28"/>
          <w:szCs w:val="28"/>
        </w:rPr>
        <w:t>Prehistory</w:t>
      </w:r>
      <w:proofErr w:type="spellEnd"/>
      <w:r w:rsidRPr="00162F1D">
        <w:rPr>
          <w:rFonts w:asciiTheme="majorBidi" w:hAnsiTheme="majorBidi" w:cstheme="majorBidi"/>
          <w:sz w:val="28"/>
          <w:szCs w:val="28"/>
        </w:rPr>
        <w:t>, vol. 13, n</w:t>
      </w:r>
      <w:r w:rsidRPr="00162F1D">
        <w:rPr>
          <w:rFonts w:asciiTheme="majorBidi" w:hAnsiTheme="majorBidi" w:cstheme="majorBidi"/>
          <w:position w:val="10"/>
          <w:sz w:val="28"/>
          <w:szCs w:val="28"/>
          <w:vertAlign w:val="superscript"/>
        </w:rPr>
        <w:t xml:space="preserve">0 </w:t>
      </w:r>
      <w:r w:rsidRPr="00162F1D">
        <w:rPr>
          <w:rFonts w:asciiTheme="majorBidi" w:hAnsiTheme="majorBidi" w:cstheme="majorBidi"/>
          <w:sz w:val="28"/>
          <w:szCs w:val="28"/>
        </w:rPr>
        <w:t xml:space="preserve">1, pp. 1-68. </w:t>
      </w:r>
    </w:p>
    <w:p w:rsidR="00162F1D" w:rsidRPr="00162F1D" w:rsidRDefault="00162F1D" w:rsidP="00162F1D">
      <w:pPr>
        <w:rPr>
          <w:rFonts w:asciiTheme="majorBidi" w:hAnsiTheme="majorBidi" w:cstheme="majorBidi"/>
          <w:sz w:val="28"/>
          <w:szCs w:val="28"/>
        </w:rPr>
      </w:pPr>
    </w:p>
    <w:p w:rsidR="00162F1D" w:rsidRPr="00162F1D" w:rsidRDefault="00162F1D" w:rsidP="00162F1D">
      <w:pPr>
        <w:rPr>
          <w:rFonts w:asciiTheme="majorBidi" w:hAnsiTheme="majorBidi" w:cstheme="majorBidi"/>
          <w:sz w:val="28"/>
          <w:szCs w:val="28"/>
        </w:rPr>
      </w:pPr>
    </w:p>
    <w:sectPr w:rsidR="00162F1D" w:rsidRPr="00162F1D" w:rsidSect="002A6235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995" w:rsidRDefault="00D11995" w:rsidP="00537135">
      <w:pPr>
        <w:spacing w:after="0" w:line="240" w:lineRule="auto"/>
      </w:pPr>
      <w:r>
        <w:separator/>
      </w:r>
    </w:p>
  </w:endnote>
  <w:endnote w:type="continuationSeparator" w:id="1">
    <w:p w:rsidR="00D11995" w:rsidRDefault="00D11995" w:rsidP="0053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F5" w:rsidRDefault="00D802F5" w:rsidP="001E6295">
    <w:pPr>
      <w:pStyle w:val="Pieddepage"/>
    </w:pPr>
  </w:p>
  <w:p w:rsidR="00D802F5" w:rsidRDefault="00D802F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35" w:rsidRDefault="002A6235" w:rsidP="00B11A9A">
    <w:pPr>
      <w:pStyle w:val="Pieddepage"/>
      <w:jc w:val="center"/>
    </w:pPr>
  </w:p>
  <w:p w:rsidR="003247A0" w:rsidRDefault="003247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995" w:rsidRDefault="00D11995" w:rsidP="00537135">
      <w:pPr>
        <w:spacing w:after="0" w:line="240" w:lineRule="auto"/>
      </w:pPr>
      <w:r>
        <w:separator/>
      </w:r>
    </w:p>
  </w:footnote>
  <w:footnote w:type="continuationSeparator" w:id="1">
    <w:p w:rsidR="00D11995" w:rsidRDefault="00D11995" w:rsidP="00537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165B"/>
    <w:multiLevelType w:val="hybridMultilevel"/>
    <w:tmpl w:val="DFAEB82E"/>
    <w:lvl w:ilvl="0" w:tplc="5FE44A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086842"/>
    <w:multiLevelType w:val="hybridMultilevel"/>
    <w:tmpl w:val="D24C2BCE"/>
    <w:lvl w:ilvl="0" w:tplc="FAA8B4A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3E347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08ED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B86F7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3A2A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5A03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D266E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EC00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BE52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497C84"/>
    <w:rsid w:val="0000411A"/>
    <w:rsid w:val="00063608"/>
    <w:rsid w:val="00064A8E"/>
    <w:rsid w:val="00076DA1"/>
    <w:rsid w:val="000B45C2"/>
    <w:rsid w:val="000E5E65"/>
    <w:rsid w:val="00100DE6"/>
    <w:rsid w:val="001332B4"/>
    <w:rsid w:val="0013418F"/>
    <w:rsid w:val="00144018"/>
    <w:rsid w:val="001524DF"/>
    <w:rsid w:val="00162F1D"/>
    <w:rsid w:val="00166E65"/>
    <w:rsid w:val="001733B3"/>
    <w:rsid w:val="00180D8C"/>
    <w:rsid w:val="0019578A"/>
    <w:rsid w:val="001B6B5D"/>
    <w:rsid w:val="001B768B"/>
    <w:rsid w:val="001C48D7"/>
    <w:rsid w:val="001D72EE"/>
    <w:rsid w:val="001E5F59"/>
    <w:rsid w:val="001E6295"/>
    <w:rsid w:val="001F497E"/>
    <w:rsid w:val="001F6C76"/>
    <w:rsid w:val="0021787A"/>
    <w:rsid w:val="00265CAC"/>
    <w:rsid w:val="00280C9A"/>
    <w:rsid w:val="002A6235"/>
    <w:rsid w:val="002B1F96"/>
    <w:rsid w:val="002C26AC"/>
    <w:rsid w:val="002C3545"/>
    <w:rsid w:val="00310065"/>
    <w:rsid w:val="003167BA"/>
    <w:rsid w:val="00316D9D"/>
    <w:rsid w:val="003247A0"/>
    <w:rsid w:val="00351C11"/>
    <w:rsid w:val="00367050"/>
    <w:rsid w:val="00391D23"/>
    <w:rsid w:val="003A10FE"/>
    <w:rsid w:val="003A2020"/>
    <w:rsid w:val="003A5B38"/>
    <w:rsid w:val="003C08CD"/>
    <w:rsid w:val="003C37CB"/>
    <w:rsid w:val="00427D03"/>
    <w:rsid w:val="004305D3"/>
    <w:rsid w:val="00430A69"/>
    <w:rsid w:val="00430F18"/>
    <w:rsid w:val="00450902"/>
    <w:rsid w:val="00482366"/>
    <w:rsid w:val="004929F9"/>
    <w:rsid w:val="00497C84"/>
    <w:rsid w:val="004E43D4"/>
    <w:rsid w:val="005023C2"/>
    <w:rsid w:val="00536579"/>
    <w:rsid w:val="00537135"/>
    <w:rsid w:val="005608FD"/>
    <w:rsid w:val="0056538B"/>
    <w:rsid w:val="0058009E"/>
    <w:rsid w:val="005803B7"/>
    <w:rsid w:val="00582CB1"/>
    <w:rsid w:val="006074F4"/>
    <w:rsid w:val="006075F9"/>
    <w:rsid w:val="00612E57"/>
    <w:rsid w:val="00640794"/>
    <w:rsid w:val="00664131"/>
    <w:rsid w:val="006B160F"/>
    <w:rsid w:val="006D326A"/>
    <w:rsid w:val="006E0783"/>
    <w:rsid w:val="0070601D"/>
    <w:rsid w:val="00717170"/>
    <w:rsid w:val="00746B7F"/>
    <w:rsid w:val="00747EED"/>
    <w:rsid w:val="007778B3"/>
    <w:rsid w:val="007B0E82"/>
    <w:rsid w:val="007B1517"/>
    <w:rsid w:val="007B799B"/>
    <w:rsid w:val="007D12C3"/>
    <w:rsid w:val="007E5B83"/>
    <w:rsid w:val="007F16E4"/>
    <w:rsid w:val="00803CB0"/>
    <w:rsid w:val="00845210"/>
    <w:rsid w:val="00852D9F"/>
    <w:rsid w:val="00872EA9"/>
    <w:rsid w:val="008A41AD"/>
    <w:rsid w:val="008A6DA6"/>
    <w:rsid w:val="008B1FF1"/>
    <w:rsid w:val="008C4D79"/>
    <w:rsid w:val="00947140"/>
    <w:rsid w:val="0095402F"/>
    <w:rsid w:val="009673CF"/>
    <w:rsid w:val="00994DA0"/>
    <w:rsid w:val="009A007D"/>
    <w:rsid w:val="009A39A1"/>
    <w:rsid w:val="009B5173"/>
    <w:rsid w:val="009D6141"/>
    <w:rsid w:val="009F00AB"/>
    <w:rsid w:val="00A0054B"/>
    <w:rsid w:val="00A041D1"/>
    <w:rsid w:val="00A123E4"/>
    <w:rsid w:val="00A17A21"/>
    <w:rsid w:val="00A3209B"/>
    <w:rsid w:val="00A340E9"/>
    <w:rsid w:val="00A52556"/>
    <w:rsid w:val="00A62E83"/>
    <w:rsid w:val="00A65932"/>
    <w:rsid w:val="00A66B68"/>
    <w:rsid w:val="00AC5045"/>
    <w:rsid w:val="00AD1622"/>
    <w:rsid w:val="00AD3815"/>
    <w:rsid w:val="00AD56D0"/>
    <w:rsid w:val="00AD7AAE"/>
    <w:rsid w:val="00B03A59"/>
    <w:rsid w:val="00B11A9A"/>
    <w:rsid w:val="00B2717E"/>
    <w:rsid w:val="00B44E93"/>
    <w:rsid w:val="00B564FD"/>
    <w:rsid w:val="00B73663"/>
    <w:rsid w:val="00BA7939"/>
    <w:rsid w:val="00BB29D1"/>
    <w:rsid w:val="00BB45BB"/>
    <w:rsid w:val="00BB56BE"/>
    <w:rsid w:val="00C01779"/>
    <w:rsid w:val="00C0262B"/>
    <w:rsid w:val="00C10F54"/>
    <w:rsid w:val="00C26733"/>
    <w:rsid w:val="00C362D7"/>
    <w:rsid w:val="00C60135"/>
    <w:rsid w:val="00C65532"/>
    <w:rsid w:val="00C7092B"/>
    <w:rsid w:val="00C74110"/>
    <w:rsid w:val="00CB363A"/>
    <w:rsid w:val="00CE0439"/>
    <w:rsid w:val="00D06A6F"/>
    <w:rsid w:val="00D11995"/>
    <w:rsid w:val="00D367F2"/>
    <w:rsid w:val="00D4124C"/>
    <w:rsid w:val="00D41EFF"/>
    <w:rsid w:val="00D67885"/>
    <w:rsid w:val="00D802F5"/>
    <w:rsid w:val="00D87340"/>
    <w:rsid w:val="00DA2933"/>
    <w:rsid w:val="00DA7276"/>
    <w:rsid w:val="00DD5857"/>
    <w:rsid w:val="00DE22ED"/>
    <w:rsid w:val="00DF3BFC"/>
    <w:rsid w:val="00E31EEF"/>
    <w:rsid w:val="00E50BA5"/>
    <w:rsid w:val="00E533E6"/>
    <w:rsid w:val="00E5682D"/>
    <w:rsid w:val="00E61697"/>
    <w:rsid w:val="00E72037"/>
    <w:rsid w:val="00E7284D"/>
    <w:rsid w:val="00EA02AF"/>
    <w:rsid w:val="00ED0D3B"/>
    <w:rsid w:val="00ED2CC3"/>
    <w:rsid w:val="00ED4494"/>
    <w:rsid w:val="00EE64E4"/>
    <w:rsid w:val="00F030FD"/>
    <w:rsid w:val="00F352F0"/>
    <w:rsid w:val="00F43F6F"/>
    <w:rsid w:val="00F7404B"/>
    <w:rsid w:val="00F81DF1"/>
    <w:rsid w:val="00F914D4"/>
    <w:rsid w:val="00FA1006"/>
    <w:rsid w:val="00FA1F5B"/>
    <w:rsid w:val="00FD16FD"/>
    <w:rsid w:val="00FE4D1F"/>
    <w:rsid w:val="00FF1F8F"/>
    <w:rsid w:val="00FF27E4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4E4"/>
    <w:pPr>
      <w:ind w:left="720"/>
      <w:contextualSpacing/>
    </w:pPr>
  </w:style>
  <w:style w:type="paragraph" w:customStyle="1" w:styleId="Default">
    <w:name w:val="Default"/>
    <w:rsid w:val="00EE64E4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10F5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3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7135"/>
  </w:style>
  <w:style w:type="paragraph" w:styleId="Pieddepage">
    <w:name w:val="footer"/>
    <w:basedOn w:val="Normal"/>
    <w:link w:val="PieddepageCar"/>
    <w:uiPriority w:val="99"/>
    <w:unhideWhenUsed/>
    <w:rsid w:val="0053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7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9EFA-757E-476C-87EF-C44EF432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Missou</dc:creator>
  <cp:lastModifiedBy>Customer</cp:lastModifiedBy>
  <cp:revision>50</cp:revision>
  <cp:lastPrinted>2016-02-25T07:12:00Z</cp:lastPrinted>
  <dcterms:created xsi:type="dcterms:W3CDTF">2015-06-06T10:39:00Z</dcterms:created>
  <dcterms:modified xsi:type="dcterms:W3CDTF">2019-03-13T11:00:00Z</dcterms:modified>
</cp:coreProperties>
</file>