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F2" w:rsidRDefault="00196AF2" w:rsidP="008530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90F9B">
        <w:rPr>
          <w:rFonts w:ascii="Times New Roman" w:hAnsi="Times New Roman" w:cs="Times New Roman"/>
          <w:b/>
          <w:bCs/>
          <w:sz w:val="28"/>
          <w:szCs w:val="28"/>
        </w:rPr>
        <w:t>ARNAUD N., POUPEAU G., 1998</w:t>
      </w:r>
      <w:r w:rsidRPr="00E90F9B">
        <w:rPr>
          <w:rFonts w:ascii="Times New Roman" w:hAnsi="Times New Roman" w:cs="Times New Roman"/>
          <w:sz w:val="28"/>
          <w:szCs w:val="28"/>
        </w:rPr>
        <w:t xml:space="preserve"> – La datation des obsidiennes, dans « Synthèse sur l’obsidienne au Proche-Orient : du volcan à l’outil (</w:t>
      </w:r>
      <w:r w:rsidRPr="00E90F9B">
        <w:rPr>
          <w:rFonts w:ascii="Times New Roman" w:hAnsi="Times New Roman" w:cs="Times New Roman"/>
          <w:i/>
          <w:sz w:val="28"/>
          <w:szCs w:val="28"/>
        </w:rPr>
        <w:t>géologie, géochimie, datation, archéologie</w:t>
      </w:r>
      <w:r w:rsidRPr="00E90F9B">
        <w:rPr>
          <w:rFonts w:ascii="Times New Roman" w:hAnsi="Times New Roman" w:cs="Times New Roman"/>
          <w:sz w:val="28"/>
          <w:szCs w:val="28"/>
        </w:rPr>
        <w:t xml:space="preserve">) »,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Eds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. M.-C. Cauvin, A. Gourgaud, B.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Gratuze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, J.-L.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Poidevin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 et G.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Poupeau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, BAR International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Tempus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Raparatum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>, Oxford, 49-51</w:t>
      </w:r>
      <w:r w:rsidR="00853084">
        <w:rPr>
          <w:rFonts w:ascii="Times New Roman" w:hAnsi="Times New Roman" w:cs="Times New Roman"/>
          <w:sz w:val="28"/>
          <w:szCs w:val="28"/>
        </w:rPr>
        <w:t>.</w:t>
      </w:r>
    </w:p>
    <w:p w:rsidR="00853084" w:rsidRPr="00E90F9B" w:rsidRDefault="00853084" w:rsidP="008530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084" w:rsidRPr="00853084" w:rsidRDefault="00853084" w:rsidP="008530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853084">
        <w:rPr>
          <w:rFonts w:asciiTheme="majorBidi" w:hAnsiTheme="majorBidi" w:cstheme="majorBidi"/>
          <w:b/>
          <w:bCs/>
          <w:sz w:val="28"/>
          <w:szCs w:val="28"/>
        </w:rPr>
        <w:t>Binford</w:t>
      </w:r>
      <w:proofErr w:type="spellEnd"/>
      <w:r w:rsidRPr="00853084">
        <w:rPr>
          <w:rFonts w:asciiTheme="majorBidi" w:hAnsiTheme="majorBidi" w:cstheme="majorBidi"/>
          <w:b/>
          <w:bCs/>
          <w:sz w:val="28"/>
          <w:szCs w:val="28"/>
        </w:rPr>
        <w:t xml:space="preserve">, L. R. </w:t>
      </w:r>
      <w:r w:rsidRPr="00853084">
        <w:rPr>
          <w:rFonts w:asciiTheme="majorBidi" w:hAnsiTheme="majorBidi" w:cstheme="majorBidi"/>
          <w:sz w:val="28"/>
          <w:szCs w:val="28"/>
        </w:rPr>
        <w:t xml:space="preserve">1972 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Contemporary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 model building: 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Paradigms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 and the 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current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 state of 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Palaeolithic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research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. </w:t>
      </w:r>
      <w:r w:rsidRPr="00853084">
        <w:rPr>
          <w:rFonts w:asciiTheme="majorBidi" w:hAnsiTheme="majorBidi" w:cstheme="majorBidi"/>
          <w:i/>
          <w:iCs/>
          <w:sz w:val="28"/>
          <w:szCs w:val="28"/>
        </w:rPr>
        <w:t xml:space="preserve">In : </w:t>
      </w:r>
      <w:proofErr w:type="spellStart"/>
      <w:r w:rsidRPr="00853084">
        <w:rPr>
          <w:rFonts w:asciiTheme="majorBidi" w:hAnsiTheme="majorBidi" w:cstheme="majorBidi"/>
          <w:i/>
          <w:iCs/>
          <w:sz w:val="28"/>
          <w:szCs w:val="28"/>
        </w:rPr>
        <w:t>Models</w:t>
      </w:r>
      <w:proofErr w:type="spellEnd"/>
      <w:r w:rsidRPr="00853084">
        <w:rPr>
          <w:rFonts w:asciiTheme="majorBidi" w:hAnsiTheme="majorBidi" w:cstheme="majorBidi"/>
          <w:i/>
          <w:iCs/>
          <w:sz w:val="28"/>
          <w:szCs w:val="28"/>
        </w:rPr>
        <w:t xml:space="preserve"> in </w:t>
      </w:r>
      <w:proofErr w:type="spellStart"/>
      <w:r w:rsidRPr="00853084">
        <w:rPr>
          <w:rFonts w:asciiTheme="majorBidi" w:hAnsiTheme="majorBidi" w:cstheme="majorBidi"/>
          <w:i/>
          <w:iCs/>
          <w:sz w:val="28"/>
          <w:szCs w:val="28"/>
        </w:rPr>
        <w:t>Archaeology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. Ed. </w:t>
      </w:r>
      <w:proofErr w:type="gramStart"/>
      <w:r w:rsidRPr="00853084">
        <w:rPr>
          <w:rFonts w:asciiTheme="majorBidi" w:hAnsiTheme="majorBidi" w:cstheme="majorBidi"/>
          <w:sz w:val="28"/>
          <w:szCs w:val="28"/>
        </w:rPr>
        <w:t>by</w:t>
      </w:r>
      <w:proofErr w:type="gramEnd"/>
      <w:r w:rsidRPr="00853084">
        <w:rPr>
          <w:rFonts w:asciiTheme="majorBidi" w:hAnsiTheme="majorBidi" w:cstheme="majorBidi"/>
          <w:sz w:val="28"/>
          <w:szCs w:val="28"/>
        </w:rPr>
        <w:t xml:space="preserve"> D. L. Clarke, London : Methuen, pp. 109-166. </w:t>
      </w:r>
    </w:p>
    <w:p w:rsidR="00853084" w:rsidRPr="00853084" w:rsidRDefault="00853084" w:rsidP="008530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53084" w:rsidRPr="00853084" w:rsidRDefault="00853084" w:rsidP="008530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53084">
        <w:rPr>
          <w:rFonts w:asciiTheme="majorBidi" w:hAnsiTheme="majorBidi" w:cstheme="majorBidi"/>
          <w:sz w:val="28"/>
          <w:szCs w:val="28"/>
        </w:rPr>
        <w:t xml:space="preserve">1973 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Interassemblage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variability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: the 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Mousterian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 and the “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functional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 argument”. </w:t>
      </w:r>
      <w:r w:rsidRPr="00853084">
        <w:rPr>
          <w:rFonts w:asciiTheme="majorBidi" w:hAnsiTheme="majorBidi" w:cstheme="majorBidi"/>
          <w:i/>
          <w:iCs/>
          <w:sz w:val="28"/>
          <w:szCs w:val="28"/>
        </w:rPr>
        <w:t xml:space="preserve">In : The </w:t>
      </w:r>
      <w:proofErr w:type="spellStart"/>
      <w:r w:rsidRPr="00853084">
        <w:rPr>
          <w:rFonts w:asciiTheme="majorBidi" w:hAnsiTheme="majorBidi" w:cstheme="majorBidi"/>
          <w:i/>
          <w:iCs/>
          <w:sz w:val="28"/>
          <w:szCs w:val="28"/>
        </w:rPr>
        <w:t>Explanation</w:t>
      </w:r>
      <w:proofErr w:type="spellEnd"/>
      <w:r w:rsidRPr="00853084">
        <w:rPr>
          <w:rFonts w:asciiTheme="majorBidi" w:hAnsiTheme="majorBidi" w:cstheme="majorBidi"/>
          <w:i/>
          <w:iCs/>
          <w:sz w:val="28"/>
          <w:szCs w:val="28"/>
        </w:rPr>
        <w:t xml:space="preserve"> of Culture Change</w:t>
      </w:r>
      <w:r w:rsidRPr="00853084">
        <w:rPr>
          <w:rFonts w:asciiTheme="majorBidi" w:hAnsiTheme="majorBidi" w:cstheme="majorBidi"/>
          <w:sz w:val="28"/>
          <w:szCs w:val="28"/>
        </w:rPr>
        <w:t xml:space="preserve">. Ed. </w:t>
      </w:r>
      <w:proofErr w:type="gramStart"/>
      <w:r w:rsidRPr="00853084">
        <w:rPr>
          <w:rFonts w:asciiTheme="majorBidi" w:hAnsiTheme="majorBidi" w:cstheme="majorBidi"/>
          <w:sz w:val="28"/>
          <w:szCs w:val="28"/>
        </w:rPr>
        <w:t>by</w:t>
      </w:r>
      <w:proofErr w:type="gramEnd"/>
      <w:r w:rsidRPr="00853084">
        <w:rPr>
          <w:rFonts w:asciiTheme="majorBidi" w:hAnsiTheme="majorBidi" w:cstheme="majorBidi"/>
          <w:sz w:val="28"/>
          <w:szCs w:val="28"/>
        </w:rPr>
        <w:t xml:space="preserve"> C. Renfrew, London: 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Duckworth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, pp. 227-254. </w:t>
      </w:r>
    </w:p>
    <w:p w:rsidR="00853084" w:rsidRPr="00853084" w:rsidRDefault="00853084" w:rsidP="008530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53084" w:rsidRPr="00853084" w:rsidRDefault="00853084" w:rsidP="008530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53084">
        <w:rPr>
          <w:rFonts w:asciiTheme="majorBidi" w:hAnsiTheme="majorBidi" w:cstheme="majorBidi"/>
          <w:sz w:val="28"/>
          <w:szCs w:val="28"/>
        </w:rPr>
        <w:t xml:space="preserve">1980 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Willow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Smoke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Dog’s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tails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>: Hunter-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Gatherer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Settlement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 Systems and 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Archaeological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 Site Formation. </w:t>
      </w:r>
      <w:r w:rsidRPr="00853084">
        <w:rPr>
          <w:rFonts w:asciiTheme="majorBidi" w:hAnsiTheme="majorBidi" w:cstheme="majorBidi"/>
          <w:i/>
          <w:iCs/>
          <w:sz w:val="28"/>
          <w:szCs w:val="28"/>
        </w:rPr>
        <w:t xml:space="preserve">American </w:t>
      </w:r>
      <w:proofErr w:type="spellStart"/>
      <w:r w:rsidRPr="00853084">
        <w:rPr>
          <w:rFonts w:asciiTheme="majorBidi" w:hAnsiTheme="majorBidi" w:cstheme="majorBidi"/>
          <w:i/>
          <w:iCs/>
          <w:sz w:val="28"/>
          <w:szCs w:val="28"/>
        </w:rPr>
        <w:t>Antiquity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, vol. 45, pp. 1-20. </w:t>
      </w:r>
    </w:p>
    <w:p w:rsidR="00853084" w:rsidRPr="00853084" w:rsidRDefault="00853084" w:rsidP="008530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53084">
        <w:rPr>
          <w:rFonts w:asciiTheme="majorBidi" w:hAnsiTheme="majorBidi" w:cstheme="majorBidi"/>
          <w:sz w:val="28"/>
          <w:szCs w:val="28"/>
        </w:rPr>
        <w:t>1999 Time as a Clue to Cause</w:t>
      </w:r>
      <w:proofErr w:type="gramStart"/>
      <w:r w:rsidRPr="00853084">
        <w:rPr>
          <w:rFonts w:asciiTheme="majorBidi" w:hAnsiTheme="majorBidi" w:cstheme="majorBidi"/>
          <w:sz w:val="28"/>
          <w:szCs w:val="28"/>
        </w:rPr>
        <w:t>?.</w:t>
      </w:r>
      <w:proofErr w:type="gramEnd"/>
      <w:r w:rsidRPr="008530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3084">
        <w:rPr>
          <w:rFonts w:asciiTheme="majorBidi" w:hAnsiTheme="majorBidi" w:cstheme="majorBidi"/>
          <w:i/>
          <w:iCs/>
          <w:sz w:val="28"/>
          <w:szCs w:val="28"/>
        </w:rPr>
        <w:t>Proceedings</w:t>
      </w:r>
      <w:proofErr w:type="spellEnd"/>
      <w:r w:rsidRPr="00853084">
        <w:rPr>
          <w:rFonts w:asciiTheme="majorBidi" w:hAnsiTheme="majorBidi" w:cstheme="majorBidi"/>
          <w:i/>
          <w:iCs/>
          <w:sz w:val="28"/>
          <w:szCs w:val="28"/>
        </w:rPr>
        <w:t xml:space="preserve"> of the British </w:t>
      </w:r>
      <w:proofErr w:type="spellStart"/>
      <w:r w:rsidRPr="00853084">
        <w:rPr>
          <w:rFonts w:asciiTheme="majorBidi" w:hAnsiTheme="majorBidi" w:cstheme="majorBidi"/>
          <w:i/>
          <w:iCs/>
          <w:sz w:val="28"/>
          <w:szCs w:val="28"/>
        </w:rPr>
        <w:t>Academy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, vol. 101, pp. 1-35. </w:t>
      </w:r>
    </w:p>
    <w:p w:rsidR="00853084" w:rsidRPr="00853084" w:rsidRDefault="00853084" w:rsidP="008530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53084" w:rsidRPr="00853084" w:rsidRDefault="00853084" w:rsidP="008530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853084">
        <w:rPr>
          <w:rFonts w:asciiTheme="majorBidi" w:hAnsiTheme="majorBidi" w:cstheme="majorBidi"/>
          <w:b/>
          <w:bCs/>
          <w:sz w:val="28"/>
          <w:szCs w:val="28"/>
        </w:rPr>
        <w:t>Binford</w:t>
      </w:r>
      <w:proofErr w:type="spellEnd"/>
      <w:r w:rsidRPr="00853084">
        <w:rPr>
          <w:rFonts w:asciiTheme="majorBidi" w:hAnsiTheme="majorBidi" w:cstheme="majorBidi"/>
          <w:b/>
          <w:bCs/>
          <w:sz w:val="28"/>
          <w:szCs w:val="28"/>
        </w:rPr>
        <w:t xml:space="preserve">, L. R. &amp; J.F. </w:t>
      </w:r>
      <w:proofErr w:type="spellStart"/>
      <w:r w:rsidRPr="00853084">
        <w:rPr>
          <w:rFonts w:asciiTheme="majorBidi" w:hAnsiTheme="majorBidi" w:cstheme="majorBidi"/>
          <w:b/>
          <w:bCs/>
          <w:sz w:val="28"/>
          <w:szCs w:val="28"/>
        </w:rPr>
        <w:t>O’Connell</w:t>
      </w:r>
      <w:proofErr w:type="spellEnd"/>
      <w:r w:rsidRPr="008530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53084" w:rsidRPr="00853084" w:rsidRDefault="00853084" w:rsidP="008530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53084">
        <w:rPr>
          <w:rFonts w:asciiTheme="majorBidi" w:hAnsiTheme="majorBidi" w:cstheme="majorBidi"/>
          <w:sz w:val="28"/>
          <w:szCs w:val="28"/>
        </w:rPr>
        <w:t xml:space="preserve">1984 An 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Alyawara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 Day: the Stone 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Quarry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. </w:t>
      </w:r>
      <w:r w:rsidRPr="00853084">
        <w:rPr>
          <w:rFonts w:asciiTheme="majorBidi" w:hAnsiTheme="majorBidi" w:cstheme="majorBidi"/>
          <w:i/>
          <w:iCs/>
          <w:sz w:val="28"/>
          <w:szCs w:val="28"/>
        </w:rPr>
        <w:t xml:space="preserve">Journal of </w:t>
      </w:r>
      <w:proofErr w:type="spellStart"/>
      <w:r w:rsidRPr="00853084">
        <w:rPr>
          <w:rFonts w:asciiTheme="majorBidi" w:hAnsiTheme="majorBidi" w:cstheme="majorBidi"/>
          <w:i/>
          <w:iCs/>
          <w:sz w:val="28"/>
          <w:szCs w:val="28"/>
        </w:rPr>
        <w:t>Anthropological</w:t>
      </w:r>
      <w:proofErr w:type="spellEnd"/>
      <w:r w:rsidRPr="0085308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853084">
        <w:rPr>
          <w:rFonts w:asciiTheme="majorBidi" w:hAnsiTheme="majorBidi" w:cstheme="majorBidi"/>
          <w:i/>
          <w:iCs/>
          <w:sz w:val="28"/>
          <w:szCs w:val="28"/>
        </w:rPr>
        <w:t>Research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, vol. 40, pp. 406-432. </w:t>
      </w:r>
    </w:p>
    <w:p w:rsidR="00853084" w:rsidRPr="00853084" w:rsidRDefault="00853084" w:rsidP="00853084">
      <w:pPr>
        <w:rPr>
          <w:rFonts w:asciiTheme="majorBidi" w:hAnsiTheme="majorBidi" w:cstheme="majorBidi"/>
          <w:sz w:val="28"/>
          <w:szCs w:val="28"/>
        </w:rPr>
      </w:pPr>
    </w:p>
    <w:p w:rsidR="00853084" w:rsidRPr="00853084" w:rsidRDefault="00853084" w:rsidP="008530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5308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Bordes, F. </w:t>
      </w:r>
    </w:p>
    <w:p w:rsidR="00853084" w:rsidRPr="00853084" w:rsidRDefault="00853084" w:rsidP="008530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53084">
        <w:rPr>
          <w:rFonts w:asciiTheme="majorBidi" w:hAnsiTheme="majorBidi" w:cstheme="majorBidi"/>
          <w:color w:val="000000"/>
          <w:sz w:val="28"/>
          <w:szCs w:val="28"/>
        </w:rPr>
        <w:t xml:space="preserve">1947 Étude comparative des différentes techniques de taille du silex et des roches dures. </w:t>
      </w:r>
      <w:r w:rsidRPr="00853084">
        <w:rPr>
          <w:rFonts w:asciiTheme="majorBidi" w:hAnsiTheme="majorBidi" w:cstheme="majorBidi"/>
          <w:i/>
          <w:iCs/>
          <w:color w:val="000000"/>
          <w:sz w:val="28"/>
          <w:szCs w:val="28"/>
        </w:rPr>
        <w:t>L</w:t>
      </w:r>
      <w:r w:rsidRPr="00853084">
        <w:rPr>
          <w:rFonts w:asciiTheme="majorBidi" w:hAnsiTheme="majorBidi" w:cstheme="majorBidi"/>
          <w:color w:val="000000"/>
          <w:sz w:val="28"/>
          <w:szCs w:val="28"/>
        </w:rPr>
        <w:t>’</w:t>
      </w:r>
      <w:r w:rsidRPr="00853084">
        <w:rPr>
          <w:rFonts w:asciiTheme="majorBidi" w:hAnsiTheme="majorBidi" w:cstheme="majorBidi"/>
          <w:i/>
          <w:iCs/>
          <w:color w:val="000000"/>
          <w:sz w:val="28"/>
          <w:szCs w:val="28"/>
        </w:rPr>
        <w:t>Anthropologie</w:t>
      </w:r>
      <w:r w:rsidRPr="00853084">
        <w:rPr>
          <w:rFonts w:asciiTheme="majorBidi" w:hAnsiTheme="majorBidi" w:cstheme="majorBidi"/>
          <w:color w:val="000000"/>
          <w:sz w:val="28"/>
          <w:szCs w:val="28"/>
        </w:rPr>
        <w:t xml:space="preserve">, t. 52, pp. 1-29. </w:t>
      </w:r>
    </w:p>
    <w:p w:rsidR="00853084" w:rsidRPr="00853084" w:rsidRDefault="00853084" w:rsidP="008530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53084">
        <w:rPr>
          <w:rFonts w:asciiTheme="majorBidi" w:hAnsiTheme="majorBidi" w:cstheme="majorBidi"/>
          <w:color w:val="000000"/>
          <w:sz w:val="28"/>
          <w:szCs w:val="28"/>
        </w:rPr>
        <w:t xml:space="preserve">1950 Principe d’une méthode d’étude des techniques de débitage et de la typologie du Paléolithique </w:t>
      </w:r>
      <w:r w:rsidRPr="00853084">
        <w:rPr>
          <w:rFonts w:asciiTheme="majorBidi" w:hAnsiTheme="majorBidi" w:cstheme="majorBidi"/>
          <w:sz w:val="28"/>
          <w:szCs w:val="28"/>
        </w:rPr>
        <w:t xml:space="preserve">ancien et moyen. </w:t>
      </w:r>
      <w:r w:rsidRPr="00853084">
        <w:rPr>
          <w:rFonts w:asciiTheme="majorBidi" w:hAnsiTheme="majorBidi" w:cstheme="majorBidi"/>
          <w:i/>
          <w:iCs/>
          <w:sz w:val="28"/>
          <w:szCs w:val="28"/>
        </w:rPr>
        <w:t>L</w:t>
      </w:r>
      <w:r w:rsidRPr="00853084">
        <w:rPr>
          <w:rFonts w:asciiTheme="majorBidi" w:hAnsiTheme="majorBidi" w:cstheme="majorBidi"/>
          <w:sz w:val="28"/>
          <w:szCs w:val="28"/>
        </w:rPr>
        <w:t>’</w:t>
      </w:r>
      <w:r w:rsidRPr="00853084">
        <w:rPr>
          <w:rFonts w:asciiTheme="majorBidi" w:hAnsiTheme="majorBidi" w:cstheme="majorBidi"/>
          <w:i/>
          <w:iCs/>
          <w:sz w:val="28"/>
          <w:szCs w:val="28"/>
        </w:rPr>
        <w:t>Anthropologie</w:t>
      </w:r>
      <w:r w:rsidRPr="00853084">
        <w:rPr>
          <w:rFonts w:asciiTheme="majorBidi" w:hAnsiTheme="majorBidi" w:cstheme="majorBidi"/>
          <w:sz w:val="28"/>
          <w:szCs w:val="28"/>
        </w:rPr>
        <w:t>, t. 54, pp. 19-34.</w:t>
      </w:r>
    </w:p>
    <w:p w:rsidR="00853084" w:rsidRPr="00853084" w:rsidRDefault="00853084" w:rsidP="0085308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853084" w:rsidRDefault="00853084" w:rsidP="008530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53084">
        <w:rPr>
          <w:rFonts w:asciiTheme="majorBidi" w:hAnsiTheme="majorBidi" w:cstheme="majorBidi"/>
          <w:sz w:val="28"/>
          <w:szCs w:val="28"/>
        </w:rPr>
        <w:t xml:space="preserve">1957 La signification du </w:t>
      </w:r>
      <w:proofErr w:type="spellStart"/>
      <w:r w:rsidRPr="00853084">
        <w:rPr>
          <w:rFonts w:asciiTheme="majorBidi" w:hAnsiTheme="majorBidi" w:cstheme="majorBidi"/>
          <w:sz w:val="28"/>
          <w:szCs w:val="28"/>
        </w:rPr>
        <w:t>microburin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 dans le Paléolithique supérieur. </w:t>
      </w:r>
      <w:r w:rsidRPr="00853084">
        <w:rPr>
          <w:rFonts w:asciiTheme="majorBidi" w:hAnsiTheme="majorBidi" w:cstheme="majorBidi"/>
          <w:i/>
          <w:iCs/>
          <w:sz w:val="28"/>
          <w:szCs w:val="28"/>
        </w:rPr>
        <w:t>L</w:t>
      </w:r>
      <w:r w:rsidRPr="00853084">
        <w:rPr>
          <w:rFonts w:asciiTheme="majorBidi" w:hAnsiTheme="majorBidi" w:cstheme="majorBidi"/>
          <w:sz w:val="28"/>
          <w:szCs w:val="28"/>
        </w:rPr>
        <w:t>’</w:t>
      </w:r>
      <w:r w:rsidRPr="00853084">
        <w:rPr>
          <w:rFonts w:asciiTheme="majorBidi" w:hAnsiTheme="majorBidi" w:cstheme="majorBidi"/>
          <w:i/>
          <w:iCs/>
          <w:sz w:val="28"/>
          <w:szCs w:val="28"/>
        </w:rPr>
        <w:t>Anthropologie</w:t>
      </w:r>
      <w:r w:rsidRPr="00853084">
        <w:rPr>
          <w:rFonts w:asciiTheme="majorBidi" w:hAnsiTheme="majorBidi" w:cstheme="majorBidi"/>
          <w:sz w:val="28"/>
          <w:szCs w:val="28"/>
        </w:rPr>
        <w:t xml:space="preserve">, t. XLI, pp. 580-581. </w:t>
      </w:r>
    </w:p>
    <w:p w:rsidR="00853084" w:rsidRPr="00853084" w:rsidRDefault="00853084" w:rsidP="008530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53084" w:rsidRDefault="00853084" w:rsidP="008530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53084">
        <w:rPr>
          <w:rFonts w:asciiTheme="majorBidi" w:hAnsiTheme="majorBidi" w:cstheme="majorBidi"/>
          <w:sz w:val="28"/>
          <w:szCs w:val="28"/>
        </w:rPr>
        <w:t xml:space="preserve">1975-76 Moustérien et Atérien. </w:t>
      </w:r>
      <w:proofErr w:type="spellStart"/>
      <w:r w:rsidRPr="00853084">
        <w:rPr>
          <w:rFonts w:asciiTheme="majorBidi" w:hAnsiTheme="majorBidi" w:cstheme="majorBidi"/>
          <w:i/>
          <w:iCs/>
          <w:sz w:val="28"/>
          <w:szCs w:val="28"/>
        </w:rPr>
        <w:t>Quaternaria</w:t>
      </w:r>
      <w:proofErr w:type="spellEnd"/>
      <w:r w:rsidRPr="00853084">
        <w:rPr>
          <w:rFonts w:asciiTheme="majorBidi" w:hAnsiTheme="majorBidi" w:cstheme="majorBidi"/>
          <w:sz w:val="28"/>
          <w:szCs w:val="28"/>
        </w:rPr>
        <w:t xml:space="preserve">, t. XIX, Roma, pp. 19-34. </w:t>
      </w:r>
    </w:p>
    <w:p w:rsidR="00853084" w:rsidRPr="00853084" w:rsidRDefault="00853084" w:rsidP="008530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53084" w:rsidRPr="009F0ABD" w:rsidRDefault="00853084" w:rsidP="008530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53084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Bourguignon, L. </w:t>
      </w:r>
      <w:r w:rsidRPr="00853084">
        <w:rPr>
          <w:rFonts w:asciiTheme="majorBidi" w:hAnsiTheme="majorBidi" w:cstheme="majorBidi"/>
          <w:sz w:val="28"/>
          <w:szCs w:val="28"/>
        </w:rPr>
        <w:t xml:space="preserve">1997 </w:t>
      </w:r>
      <w:r w:rsidRPr="00853084">
        <w:rPr>
          <w:rFonts w:asciiTheme="majorBidi" w:hAnsiTheme="majorBidi" w:cstheme="majorBidi"/>
          <w:i/>
          <w:iCs/>
          <w:sz w:val="28"/>
          <w:szCs w:val="28"/>
        </w:rPr>
        <w:t xml:space="preserve">Le Moustérien du type </w:t>
      </w:r>
      <w:proofErr w:type="spellStart"/>
      <w:r w:rsidRPr="00853084">
        <w:rPr>
          <w:rFonts w:asciiTheme="majorBidi" w:hAnsiTheme="majorBidi" w:cstheme="majorBidi"/>
          <w:i/>
          <w:iCs/>
          <w:sz w:val="28"/>
          <w:szCs w:val="28"/>
        </w:rPr>
        <w:t>Quina</w:t>
      </w:r>
      <w:proofErr w:type="spellEnd"/>
      <w:r w:rsidRPr="00853084">
        <w:rPr>
          <w:rFonts w:asciiTheme="majorBidi" w:hAnsiTheme="majorBidi" w:cstheme="majorBidi"/>
          <w:i/>
          <w:iCs/>
          <w:sz w:val="28"/>
          <w:szCs w:val="28"/>
        </w:rPr>
        <w:t xml:space="preserve"> : nouvelle définition d’une entité technique</w:t>
      </w:r>
      <w:r w:rsidRPr="00853084">
        <w:rPr>
          <w:rFonts w:asciiTheme="majorBidi" w:hAnsiTheme="majorBidi" w:cstheme="majorBidi"/>
          <w:sz w:val="28"/>
          <w:szCs w:val="28"/>
        </w:rPr>
        <w:t>. Thèse de Doctorat, Université d</w:t>
      </w:r>
      <w:r>
        <w:rPr>
          <w:rFonts w:asciiTheme="majorBidi" w:hAnsiTheme="majorBidi" w:cstheme="majorBidi"/>
          <w:sz w:val="28"/>
          <w:szCs w:val="28"/>
        </w:rPr>
        <w:t>e Paris X-Nanterre, 2 vol., 671</w:t>
      </w:r>
      <w:r w:rsidRPr="00853084">
        <w:rPr>
          <w:rFonts w:asciiTheme="majorBidi" w:hAnsiTheme="majorBidi" w:cstheme="majorBidi"/>
          <w:sz w:val="28"/>
          <w:szCs w:val="28"/>
        </w:rPr>
        <w:t>p.</w:t>
      </w:r>
      <w:r w:rsidRPr="009F0ABD">
        <w:rPr>
          <w:rFonts w:asciiTheme="majorBidi" w:hAnsiTheme="majorBidi" w:cstheme="majorBidi"/>
          <w:sz w:val="28"/>
          <w:szCs w:val="28"/>
        </w:rPr>
        <w:t xml:space="preserve"> </w:t>
      </w:r>
    </w:p>
    <w:p w:rsidR="00853084" w:rsidRDefault="00853084" w:rsidP="008530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853084" w:rsidRPr="00E90F9B" w:rsidRDefault="00853084" w:rsidP="008530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F9B">
        <w:rPr>
          <w:rFonts w:ascii="Times New Roman" w:hAnsi="Times New Roman" w:cs="Times New Roman"/>
          <w:b/>
          <w:bCs/>
          <w:sz w:val="28"/>
          <w:szCs w:val="28"/>
          <w:lang w:val="en-US"/>
        </w:rPr>
        <w:t>BRESSY C., BINTZ P., POUPEAU G., BARRAT J.A., KELLER F., 1999</w:t>
      </w:r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– ICP-MS Flint characterization and </w:t>
      </w:r>
      <w:proofErr w:type="spellStart"/>
      <w:r w:rsidRPr="00E90F9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sourcing.</w:t>
      </w:r>
      <w:proofErr w:type="gram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The La Grande-</w:t>
      </w:r>
      <w:proofErr w:type="spellStart"/>
      <w:r w:rsidRPr="00E90F9B">
        <w:rPr>
          <w:rFonts w:ascii="Times New Roman" w:hAnsi="Times New Roman" w:cs="Times New Roman"/>
          <w:sz w:val="28"/>
          <w:szCs w:val="28"/>
          <w:lang w:val="en-US"/>
        </w:rPr>
        <w:t>Rivoire</w:t>
      </w:r>
      <w:proofErr w:type="spell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0F9B">
        <w:rPr>
          <w:rFonts w:ascii="Times New Roman" w:hAnsi="Times New Roman" w:cs="Times New Roman"/>
          <w:sz w:val="28"/>
          <w:szCs w:val="28"/>
          <w:lang w:val="en-US"/>
        </w:rPr>
        <w:t>Meso</w:t>
      </w:r>
      <w:proofErr w:type="spellEnd"/>
      <w:r w:rsidRPr="00E90F9B">
        <w:rPr>
          <w:rFonts w:ascii="Times New Roman" w:hAnsi="Times New Roman" w:cs="Times New Roman"/>
          <w:sz w:val="28"/>
          <w:szCs w:val="28"/>
          <w:lang w:val="en-US"/>
        </w:rPr>
        <w:t>- to Neolithic site case (</w:t>
      </w:r>
      <w:proofErr w:type="spellStart"/>
      <w:r w:rsidRPr="00E90F9B">
        <w:rPr>
          <w:rFonts w:ascii="Times New Roman" w:hAnsi="Times New Roman" w:cs="Times New Roman"/>
          <w:sz w:val="28"/>
          <w:szCs w:val="28"/>
          <w:lang w:val="en-US"/>
        </w:rPr>
        <w:t>Northren</w:t>
      </w:r>
      <w:proofErr w:type="spell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Alps, France). </w:t>
      </w:r>
      <w:proofErr w:type="gramStart"/>
      <w:r w:rsidRPr="00E90F9B">
        <w:rPr>
          <w:rFonts w:ascii="Times New Roman" w:hAnsi="Times New Roman" w:cs="Times New Roman"/>
          <w:sz w:val="28"/>
          <w:szCs w:val="28"/>
          <w:lang w:val="en-US"/>
        </w:rPr>
        <w:t>In :</w:t>
      </w:r>
      <w:proofErr w:type="gram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6th International conference of non-destructive testing and microanalysis for the diagnostics and conservation of the cultural and environmental heritage. </w:t>
      </w:r>
      <w:r w:rsidRPr="00E90F9B">
        <w:rPr>
          <w:rFonts w:ascii="Times New Roman" w:hAnsi="Times New Roman" w:cs="Times New Roman"/>
          <w:sz w:val="28"/>
          <w:szCs w:val="28"/>
        </w:rPr>
        <w:t>Rome, May 17th – 20th 1999.</w:t>
      </w:r>
    </w:p>
    <w:p w:rsidR="00853084" w:rsidRPr="00E90F9B" w:rsidRDefault="00853084" w:rsidP="008530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90F9B">
        <w:rPr>
          <w:rFonts w:ascii="Times New Roman" w:hAnsi="Times New Roman" w:cs="Times New Roman"/>
          <w:b/>
          <w:bCs/>
          <w:sz w:val="28"/>
          <w:szCs w:val="28"/>
        </w:rPr>
        <w:t>CAUVIN M.C., 1998 –</w:t>
      </w:r>
      <w:r w:rsidRPr="00E90F9B">
        <w:rPr>
          <w:rFonts w:ascii="Times New Roman" w:hAnsi="Times New Roman" w:cs="Times New Roman"/>
          <w:sz w:val="28"/>
          <w:szCs w:val="28"/>
        </w:rPr>
        <w:t xml:space="preserve"> L’obsidienne : données récentes provenant de sites-habitats néolithiques, dans « Synthèse sur l’obsidienne au Proche-Orient : du volcan à l’outil (</w:t>
      </w:r>
      <w:r w:rsidRPr="00E90F9B">
        <w:rPr>
          <w:rFonts w:ascii="Times New Roman" w:hAnsi="Times New Roman" w:cs="Times New Roman"/>
          <w:i/>
          <w:sz w:val="28"/>
          <w:szCs w:val="28"/>
        </w:rPr>
        <w:t>géologie, géochimie, datation, archéologie</w:t>
      </w:r>
      <w:r w:rsidRPr="00E90F9B">
        <w:rPr>
          <w:rFonts w:ascii="Times New Roman" w:hAnsi="Times New Roman" w:cs="Times New Roman"/>
          <w:sz w:val="28"/>
          <w:szCs w:val="28"/>
        </w:rPr>
        <w:t xml:space="preserve">) »,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Eds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. M.-C. Cauvin, A. Gourgaud, B.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Gratuze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, J.-L.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Poidevin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 et G.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Poupeau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, BAR International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Tempus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Raparatum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>, Oxford, 259-271.</w:t>
      </w:r>
    </w:p>
    <w:p w:rsidR="00853084" w:rsidRPr="00E90F9B" w:rsidRDefault="00853084" w:rsidP="008530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084" w:rsidRPr="00E90F9B" w:rsidRDefault="00853084" w:rsidP="008530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90F9B">
        <w:rPr>
          <w:rFonts w:ascii="Times New Roman" w:hAnsi="Times New Roman" w:cs="Times New Roman"/>
          <w:b/>
          <w:bCs/>
          <w:sz w:val="28"/>
          <w:szCs w:val="28"/>
        </w:rPr>
        <w:t>COGNE J., GIOT P.-R., 1952</w:t>
      </w:r>
      <w:r w:rsidRPr="00E90F9B">
        <w:rPr>
          <w:rFonts w:ascii="Times New Roman" w:hAnsi="Times New Roman" w:cs="Times New Roman"/>
          <w:sz w:val="28"/>
          <w:szCs w:val="28"/>
        </w:rPr>
        <w:t xml:space="preserve"> – Etude pétrographique des haches polies de Bretagne</w:t>
      </w:r>
      <w:r w:rsidRPr="00E90F9B">
        <w:rPr>
          <w:rFonts w:ascii="Times New Roman" w:hAnsi="Times New Roman" w:cs="Times New Roman"/>
          <w:i/>
          <w:sz w:val="28"/>
          <w:szCs w:val="28"/>
        </w:rPr>
        <w:t>. Bulletin de la Société Préhistorique Française,</w:t>
      </w:r>
      <w:r w:rsidRPr="00E90F9B">
        <w:rPr>
          <w:rFonts w:ascii="Times New Roman" w:hAnsi="Times New Roman" w:cs="Times New Roman"/>
          <w:sz w:val="28"/>
          <w:szCs w:val="28"/>
        </w:rPr>
        <w:t xml:space="preserve"> 49, p. 388-395.</w:t>
      </w:r>
    </w:p>
    <w:p w:rsidR="00853084" w:rsidRPr="00E90F9B" w:rsidRDefault="00853084" w:rsidP="008530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084" w:rsidRPr="00E90F9B" w:rsidRDefault="00853084" w:rsidP="008530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90F9B">
        <w:rPr>
          <w:rFonts w:ascii="Times New Roman" w:hAnsi="Times New Roman" w:cs="Times New Roman"/>
          <w:b/>
          <w:bCs/>
          <w:sz w:val="28"/>
          <w:szCs w:val="28"/>
        </w:rPr>
        <w:t>GREGOIRE S., 2000 –</w:t>
      </w:r>
      <w:r w:rsidRPr="00E90F9B">
        <w:rPr>
          <w:rFonts w:ascii="Times New Roman" w:hAnsi="Times New Roman" w:cs="Times New Roman"/>
          <w:sz w:val="28"/>
          <w:szCs w:val="28"/>
        </w:rPr>
        <w:t xml:space="preserve"> Origine des matières premières des industries lithiques du Paléolithique pyrénéen et méditerranéen. Contribution à la connaissance des aires de circulations humaines. Thèse de Doctorat de l’Université de Perpignan, 246 p., 73 fig.</w:t>
      </w:r>
      <w:proofErr w:type="gramStart"/>
      <w:r w:rsidRPr="00E90F9B">
        <w:rPr>
          <w:rFonts w:ascii="Times New Roman" w:hAnsi="Times New Roman" w:cs="Times New Roman"/>
          <w:sz w:val="28"/>
          <w:szCs w:val="28"/>
        </w:rPr>
        <w:t>,63</w:t>
      </w:r>
      <w:proofErr w:type="gramEnd"/>
      <w:r w:rsidRPr="00E90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tabl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>., 30 photos.</w:t>
      </w:r>
    </w:p>
    <w:p w:rsidR="00853084" w:rsidRPr="00E90F9B" w:rsidRDefault="00853084" w:rsidP="008530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084" w:rsidRPr="00E90F9B" w:rsidRDefault="00853084" w:rsidP="008530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90F9B">
        <w:rPr>
          <w:rFonts w:ascii="Times New Roman" w:hAnsi="Times New Roman" w:cs="Times New Roman"/>
          <w:b/>
          <w:bCs/>
          <w:sz w:val="28"/>
          <w:szCs w:val="28"/>
        </w:rPr>
        <w:t>MASSON A., 1987 –</w:t>
      </w:r>
      <w:r w:rsidRPr="00E90F9B">
        <w:rPr>
          <w:rFonts w:ascii="Times New Roman" w:hAnsi="Times New Roman" w:cs="Times New Roman"/>
          <w:sz w:val="28"/>
          <w:szCs w:val="28"/>
        </w:rPr>
        <w:t xml:space="preserve"> L’homme et le matériel lithique et céramique, Pétrographie, roches siliceuses. In : </w:t>
      </w:r>
      <w:r w:rsidRPr="00E90F9B">
        <w:rPr>
          <w:rFonts w:ascii="Times New Roman" w:hAnsi="Times New Roman" w:cs="Times New Roman"/>
          <w:i/>
          <w:sz w:val="28"/>
          <w:szCs w:val="28"/>
        </w:rPr>
        <w:t xml:space="preserve">Géologie de la Préhistoire </w:t>
      </w:r>
      <w:r w:rsidRPr="00E90F9B">
        <w:rPr>
          <w:rFonts w:ascii="Times New Roman" w:hAnsi="Times New Roman" w:cs="Times New Roman"/>
          <w:sz w:val="28"/>
          <w:szCs w:val="28"/>
        </w:rPr>
        <w:t xml:space="preserve">(sous la direction de J.-C.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Miskovsky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>), Ed. GEOPRE, Paris.</w:t>
      </w:r>
    </w:p>
    <w:p w:rsidR="00853084" w:rsidRPr="00E90F9B" w:rsidRDefault="00853084" w:rsidP="008530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084" w:rsidRPr="00E90F9B" w:rsidRDefault="00853084" w:rsidP="008530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0F9B">
        <w:rPr>
          <w:rFonts w:ascii="Times New Roman" w:hAnsi="Times New Roman" w:cs="Times New Roman"/>
          <w:b/>
          <w:bCs/>
          <w:sz w:val="28"/>
          <w:szCs w:val="28"/>
          <w:lang w:val="en-US"/>
        </w:rPr>
        <w:t>McK</w:t>
      </w:r>
      <w:proofErr w:type="spellEnd"/>
      <w:r w:rsidRPr="00E90F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CLOUGH T.-H, CUMMINS W.-A., 1988 –</w:t>
      </w:r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Stone axe studies.</w:t>
      </w:r>
      <w:proofErr w:type="gram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0F9B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0F9B">
        <w:rPr>
          <w:rFonts w:ascii="Times New Roman" w:hAnsi="Times New Roman" w:cs="Times New Roman"/>
          <w:sz w:val="28"/>
          <w:szCs w:val="28"/>
          <w:lang w:val="en-US"/>
        </w:rPr>
        <w:t>II :</w:t>
      </w:r>
      <w:proofErr w:type="gram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The petrology of prehistoric stone implements from the British Isles. </w:t>
      </w:r>
      <w:proofErr w:type="gramStart"/>
      <w:r w:rsidRPr="00E90F9B">
        <w:rPr>
          <w:rFonts w:ascii="Times New Roman" w:hAnsi="Times New Roman" w:cs="Times New Roman"/>
          <w:sz w:val="28"/>
          <w:szCs w:val="28"/>
          <w:lang w:val="en-US"/>
        </w:rPr>
        <w:t>CBA Research Report, 67, 297 p.</w:t>
      </w:r>
      <w:proofErr w:type="gram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53084" w:rsidRPr="00E90F9B" w:rsidRDefault="00853084" w:rsidP="008530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3084" w:rsidRPr="00E90F9B" w:rsidRDefault="00853084" w:rsidP="008530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0F9B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PETREQUIN P., JEUDY F., JEUNESSE C., 1992</w:t>
      </w:r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– Neolithic Quarries, the Exchange of Axes and Social Control in the Southern Vosges.</w:t>
      </w:r>
      <w:proofErr w:type="gram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In: </w:t>
      </w:r>
      <w:r w:rsidRPr="00E90F9B">
        <w:rPr>
          <w:rFonts w:ascii="Times New Roman" w:hAnsi="Times New Roman" w:cs="Times New Roman"/>
          <w:i/>
          <w:sz w:val="28"/>
          <w:szCs w:val="28"/>
          <w:lang w:val="en-US"/>
        </w:rPr>
        <w:t xml:space="preserve">Trade and </w:t>
      </w:r>
      <w:r w:rsidRPr="00E90F9B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Exchange in Prehistoric Europe.</w:t>
      </w:r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Proceedings of a Conference held at the University of Bristol, April 1992. Ed C. </w:t>
      </w:r>
      <w:proofErr w:type="spellStart"/>
      <w:r w:rsidRPr="00E90F9B">
        <w:rPr>
          <w:rFonts w:ascii="Times New Roman" w:hAnsi="Times New Roman" w:cs="Times New Roman"/>
          <w:sz w:val="28"/>
          <w:szCs w:val="28"/>
          <w:lang w:val="en-US"/>
        </w:rPr>
        <w:t>Scarre</w:t>
      </w:r>
      <w:proofErr w:type="spell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and F. Healy, p. 45-60.</w:t>
      </w:r>
    </w:p>
    <w:p w:rsidR="00853084" w:rsidRPr="00E90F9B" w:rsidRDefault="00853084" w:rsidP="008530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3084" w:rsidRPr="00E90F9B" w:rsidRDefault="00853084" w:rsidP="008530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90F9B">
        <w:rPr>
          <w:rFonts w:ascii="Times New Roman" w:hAnsi="Times New Roman" w:cs="Times New Roman"/>
          <w:b/>
          <w:bCs/>
          <w:sz w:val="28"/>
          <w:szCs w:val="28"/>
        </w:rPr>
        <w:t xml:space="preserve">POUPEAU G., BIGAZZI G., BELLOT-GURLET L., DORIGHEL O., 1998 </w:t>
      </w:r>
      <w:r w:rsidRPr="00E90F9B">
        <w:rPr>
          <w:rFonts w:ascii="Times New Roman" w:hAnsi="Times New Roman" w:cs="Times New Roman"/>
          <w:sz w:val="28"/>
          <w:szCs w:val="28"/>
        </w:rPr>
        <w:t>– Fission-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dating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obsidians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archaeology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>, dans « Synthèse sur l’obsidienne au Proche-Orient : du volcan à l’outil (</w:t>
      </w:r>
      <w:r w:rsidRPr="00E90F9B">
        <w:rPr>
          <w:rFonts w:ascii="Times New Roman" w:hAnsi="Times New Roman" w:cs="Times New Roman"/>
          <w:i/>
          <w:sz w:val="28"/>
          <w:szCs w:val="28"/>
        </w:rPr>
        <w:t>géologie, géochimie, datation, archéologie</w:t>
      </w:r>
      <w:r w:rsidRPr="00E90F9B">
        <w:rPr>
          <w:rFonts w:ascii="Times New Roman" w:hAnsi="Times New Roman" w:cs="Times New Roman"/>
          <w:sz w:val="28"/>
          <w:szCs w:val="28"/>
        </w:rPr>
        <w:t xml:space="preserve">) »,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Eds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. M.-C. Cauvin, A. Gourgaud, B.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Gratuze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, J.-L.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Poidevin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 et G.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Poupeau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, BAR International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Tempus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Raparatum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>, Oxford, 53-67.</w:t>
      </w:r>
    </w:p>
    <w:p w:rsidR="00853084" w:rsidRPr="00E90F9B" w:rsidRDefault="00853084" w:rsidP="008530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F9B">
        <w:rPr>
          <w:rFonts w:ascii="Times New Roman" w:hAnsi="Times New Roman" w:cs="Times New Roman"/>
          <w:b/>
          <w:bCs/>
          <w:sz w:val="28"/>
          <w:szCs w:val="28"/>
          <w:lang w:val="en-US"/>
        </w:rPr>
        <w:t>THOMPSON M., BUSH P. R. et FERGUSON J., 1986</w:t>
      </w:r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– The analysis of flint by Inductively Coupled Plasma Atomic Emission Spectrometry, as a method of source determination, </w:t>
      </w:r>
      <w:proofErr w:type="gramStart"/>
      <w:r w:rsidRPr="00E90F9B">
        <w:rPr>
          <w:rFonts w:ascii="Times New Roman" w:hAnsi="Times New Roman" w:cs="Times New Roman"/>
          <w:sz w:val="28"/>
          <w:szCs w:val="28"/>
          <w:lang w:val="en-US"/>
        </w:rPr>
        <w:t>in :</w:t>
      </w:r>
      <w:proofErr w:type="gram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F9B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scientific study of flint and </w:t>
      </w:r>
      <w:proofErr w:type="spellStart"/>
      <w:r w:rsidRPr="00E90F9B">
        <w:rPr>
          <w:rFonts w:ascii="Times New Roman" w:hAnsi="Times New Roman" w:cs="Times New Roman"/>
          <w:i/>
          <w:sz w:val="28"/>
          <w:szCs w:val="28"/>
          <w:lang w:val="en-US"/>
        </w:rPr>
        <w:t>chert</w:t>
      </w:r>
      <w:proofErr w:type="spellEnd"/>
      <w:r w:rsidRPr="00E90F9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E90F9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E90F9B">
        <w:rPr>
          <w:rFonts w:ascii="Times New Roman" w:hAnsi="Times New Roman" w:cs="Times New Roman"/>
          <w:sz w:val="28"/>
          <w:szCs w:val="28"/>
          <w:lang w:val="en-US"/>
        </w:rPr>
        <w:t>Sieveking</w:t>
      </w:r>
      <w:proofErr w:type="spell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G. et Hart M. B. </w:t>
      </w:r>
      <w:proofErr w:type="spellStart"/>
      <w:r w:rsidRPr="00E90F9B">
        <w:rPr>
          <w:rFonts w:ascii="Times New Roman" w:hAnsi="Times New Roman" w:cs="Times New Roman"/>
          <w:sz w:val="28"/>
          <w:szCs w:val="28"/>
          <w:lang w:val="en-US"/>
        </w:rPr>
        <w:t>édits</w:t>
      </w:r>
      <w:proofErr w:type="spellEnd"/>
      <w:r w:rsidRPr="00E90F9B">
        <w:rPr>
          <w:rFonts w:ascii="Times New Roman" w:hAnsi="Times New Roman" w:cs="Times New Roman"/>
          <w:sz w:val="28"/>
          <w:szCs w:val="28"/>
          <w:lang w:val="en-US"/>
        </w:rPr>
        <w:t>.), Cambridge University Press, p. 243-247.</w:t>
      </w:r>
    </w:p>
    <w:p w:rsidR="00853084" w:rsidRPr="00E90F9B" w:rsidRDefault="00853084" w:rsidP="008530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3084" w:rsidRPr="00E90F9B" w:rsidRDefault="00853084" w:rsidP="00853084">
      <w:pPr>
        <w:bidi/>
        <w:jc w:val="right"/>
        <w:rPr>
          <w:rFonts w:asciiTheme="minorBidi" w:hAnsiTheme="minorBidi"/>
          <w:sz w:val="28"/>
          <w:szCs w:val="28"/>
          <w:lang w:bidi="ar-DZ"/>
        </w:rPr>
      </w:pPr>
      <w:r w:rsidRPr="00E90F9B">
        <w:rPr>
          <w:rFonts w:ascii="Times New Roman" w:hAnsi="Times New Roman" w:cs="Times New Roman"/>
          <w:b/>
          <w:bCs/>
          <w:sz w:val="28"/>
          <w:szCs w:val="28"/>
        </w:rPr>
        <w:t>TORTI C., 1980 –</w:t>
      </w:r>
      <w:r w:rsidRPr="00E90F9B">
        <w:rPr>
          <w:rFonts w:ascii="Times New Roman" w:hAnsi="Times New Roman" w:cs="Times New Roman"/>
          <w:sz w:val="28"/>
          <w:szCs w:val="28"/>
        </w:rPr>
        <w:t xml:space="preserve"> Circulations paléolithiques : questions de longueur … et de prudence. </w:t>
      </w:r>
      <w:r w:rsidRPr="00E90F9B">
        <w:rPr>
          <w:rFonts w:ascii="Times New Roman" w:hAnsi="Times New Roman" w:cs="Times New Roman"/>
          <w:i/>
          <w:sz w:val="28"/>
          <w:szCs w:val="28"/>
        </w:rPr>
        <w:t xml:space="preserve">BSPF </w:t>
      </w:r>
      <w:r w:rsidRPr="00E90F9B">
        <w:rPr>
          <w:rFonts w:ascii="Times New Roman" w:hAnsi="Times New Roman" w:cs="Times New Roman"/>
          <w:sz w:val="28"/>
          <w:szCs w:val="28"/>
        </w:rPr>
        <w:t>80 (2), pp. 44-45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AF2" w:rsidRPr="00E90F9B" w:rsidRDefault="00196AF2" w:rsidP="008530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6AF2" w:rsidRPr="00E90F9B" w:rsidSect="002A6235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1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95" w:rsidRDefault="00D11995" w:rsidP="00537135">
      <w:pPr>
        <w:spacing w:after="0" w:line="240" w:lineRule="auto"/>
      </w:pPr>
      <w:r>
        <w:separator/>
      </w:r>
    </w:p>
  </w:endnote>
  <w:endnote w:type="continuationSeparator" w:id="1">
    <w:p w:rsidR="00D11995" w:rsidRDefault="00D11995" w:rsidP="0053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F5" w:rsidRDefault="00D802F5" w:rsidP="001E6295">
    <w:pPr>
      <w:pStyle w:val="Pieddepage"/>
    </w:pPr>
  </w:p>
  <w:p w:rsidR="00D802F5" w:rsidRDefault="00D802F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35" w:rsidRDefault="002A6235" w:rsidP="00B11A9A">
    <w:pPr>
      <w:pStyle w:val="Pieddepage"/>
      <w:jc w:val="center"/>
    </w:pPr>
  </w:p>
  <w:p w:rsidR="003247A0" w:rsidRDefault="003247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95" w:rsidRDefault="00D11995" w:rsidP="00537135">
      <w:pPr>
        <w:spacing w:after="0" w:line="240" w:lineRule="auto"/>
      </w:pPr>
      <w:r>
        <w:separator/>
      </w:r>
    </w:p>
  </w:footnote>
  <w:footnote w:type="continuationSeparator" w:id="1">
    <w:p w:rsidR="00D11995" w:rsidRDefault="00D11995" w:rsidP="00537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65B"/>
    <w:multiLevelType w:val="hybridMultilevel"/>
    <w:tmpl w:val="DFAEB82E"/>
    <w:lvl w:ilvl="0" w:tplc="5FE44A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86842"/>
    <w:multiLevelType w:val="hybridMultilevel"/>
    <w:tmpl w:val="D24C2BCE"/>
    <w:lvl w:ilvl="0" w:tplc="FAA8B4A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E34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F08ED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B86F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3A2A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5A03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D266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C00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BE52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497C84"/>
    <w:rsid w:val="0000411A"/>
    <w:rsid w:val="000626B0"/>
    <w:rsid w:val="00063608"/>
    <w:rsid w:val="00064A8E"/>
    <w:rsid w:val="00076DA1"/>
    <w:rsid w:val="000B45C2"/>
    <w:rsid w:val="000E5E65"/>
    <w:rsid w:val="00100DE6"/>
    <w:rsid w:val="001332B4"/>
    <w:rsid w:val="0013418F"/>
    <w:rsid w:val="00144018"/>
    <w:rsid w:val="001524DF"/>
    <w:rsid w:val="00166E65"/>
    <w:rsid w:val="001733B3"/>
    <w:rsid w:val="00180D8C"/>
    <w:rsid w:val="0019578A"/>
    <w:rsid w:val="00196AF2"/>
    <w:rsid w:val="001B6B5D"/>
    <w:rsid w:val="001B768B"/>
    <w:rsid w:val="001C48D7"/>
    <w:rsid w:val="001D72EE"/>
    <w:rsid w:val="001E5F59"/>
    <w:rsid w:val="001E6295"/>
    <w:rsid w:val="001F497E"/>
    <w:rsid w:val="001F6C76"/>
    <w:rsid w:val="0021787A"/>
    <w:rsid w:val="00265CAC"/>
    <w:rsid w:val="00280C9A"/>
    <w:rsid w:val="002A6235"/>
    <w:rsid w:val="002B1F96"/>
    <w:rsid w:val="002C26AC"/>
    <w:rsid w:val="002C3545"/>
    <w:rsid w:val="00310065"/>
    <w:rsid w:val="003167BA"/>
    <w:rsid w:val="00316D9D"/>
    <w:rsid w:val="003247A0"/>
    <w:rsid w:val="00351C11"/>
    <w:rsid w:val="00367050"/>
    <w:rsid w:val="00391D23"/>
    <w:rsid w:val="003A10FE"/>
    <w:rsid w:val="003A2020"/>
    <w:rsid w:val="003A5B38"/>
    <w:rsid w:val="003C08CD"/>
    <w:rsid w:val="003C37CB"/>
    <w:rsid w:val="00427D03"/>
    <w:rsid w:val="004305D3"/>
    <w:rsid w:val="00430A69"/>
    <w:rsid w:val="00430F18"/>
    <w:rsid w:val="00450902"/>
    <w:rsid w:val="00482366"/>
    <w:rsid w:val="004929F9"/>
    <w:rsid w:val="00497C84"/>
    <w:rsid w:val="004E43D4"/>
    <w:rsid w:val="005023C2"/>
    <w:rsid w:val="00536579"/>
    <w:rsid w:val="00537135"/>
    <w:rsid w:val="00555E98"/>
    <w:rsid w:val="005608FD"/>
    <w:rsid w:val="0056538B"/>
    <w:rsid w:val="0058009E"/>
    <w:rsid w:val="005803B7"/>
    <w:rsid w:val="00582CB1"/>
    <w:rsid w:val="006074F4"/>
    <w:rsid w:val="006075F9"/>
    <w:rsid w:val="00612E57"/>
    <w:rsid w:val="00640794"/>
    <w:rsid w:val="00664131"/>
    <w:rsid w:val="006B160F"/>
    <w:rsid w:val="006D326A"/>
    <w:rsid w:val="006E0783"/>
    <w:rsid w:val="0070601D"/>
    <w:rsid w:val="00717170"/>
    <w:rsid w:val="00746B7F"/>
    <w:rsid w:val="00747EED"/>
    <w:rsid w:val="007778B3"/>
    <w:rsid w:val="007B0E82"/>
    <w:rsid w:val="007B1517"/>
    <w:rsid w:val="007B799B"/>
    <w:rsid w:val="007D12C3"/>
    <w:rsid w:val="007E5B83"/>
    <w:rsid w:val="007F16E4"/>
    <w:rsid w:val="00803CB0"/>
    <w:rsid w:val="00845210"/>
    <w:rsid w:val="00852D9F"/>
    <w:rsid w:val="00853084"/>
    <w:rsid w:val="00872EA9"/>
    <w:rsid w:val="008A41AD"/>
    <w:rsid w:val="008A6DA6"/>
    <w:rsid w:val="008B1FF1"/>
    <w:rsid w:val="008C4D79"/>
    <w:rsid w:val="00947140"/>
    <w:rsid w:val="0095402F"/>
    <w:rsid w:val="009673CF"/>
    <w:rsid w:val="00994DA0"/>
    <w:rsid w:val="009A007D"/>
    <w:rsid w:val="009A39A1"/>
    <w:rsid w:val="009B5173"/>
    <w:rsid w:val="009D6141"/>
    <w:rsid w:val="009F00AB"/>
    <w:rsid w:val="00A0054B"/>
    <w:rsid w:val="00A041D1"/>
    <w:rsid w:val="00A123E4"/>
    <w:rsid w:val="00A17A21"/>
    <w:rsid w:val="00A3209B"/>
    <w:rsid w:val="00A340E9"/>
    <w:rsid w:val="00A52556"/>
    <w:rsid w:val="00A62E83"/>
    <w:rsid w:val="00A65932"/>
    <w:rsid w:val="00A66B68"/>
    <w:rsid w:val="00AC5045"/>
    <w:rsid w:val="00AD1622"/>
    <w:rsid w:val="00AD3815"/>
    <w:rsid w:val="00AD56D0"/>
    <w:rsid w:val="00AD7AAE"/>
    <w:rsid w:val="00AE5629"/>
    <w:rsid w:val="00B03A59"/>
    <w:rsid w:val="00B11A9A"/>
    <w:rsid w:val="00B2717E"/>
    <w:rsid w:val="00B44E93"/>
    <w:rsid w:val="00B564FD"/>
    <w:rsid w:val="00B73663"/>
    <w:rsid w:val="00BA7939"/>
    <w:rsid w:val="00BB29D1"/>
    <w:rsid w:val="00BB45BB"/>
    <w:rsid w:val="00BB56BE"/>
    <w:rsid w:val="00C01779"/>
    <w:rsid w:val="00C0262B"/>
    <w:rsid w:val="00C10F54"/>
    <w:rsid w:val="00C26733"/>
    <w:rsid w:val="00C362D7"/>
    <w:rsid w:val="00C60135"/>
    <w:rsid w:val="00C65532"/>
    <w:rsid w:val="00C7092B"/>
    <w:rsid w:val="00C74110"/>
    <w:rsid w:val="00CB363A"/>
    <w:rsid w:val="00CE0439"/>
    <w:rsid w:val="00D06A6F"/>
    <w:rsid w:val="00D11995"/>
    <w:rsid w:val="00D367F2"/>
    <w:rsid w:val="00D4124C"/>
    <w:rsid w:val="00D41EFF"/>
    <w:rsid w:val="00D67885"/>
    <w:rsid w:val="00D802F5"/>
    <w:rsid w:val="00D87340"/>
    <w:rsid w:val="00DA2933"/>
    <w:rsid w:val="00DA7276"/>
    <w:rsid w:val="00DD5857"/>
    <w:rsid w:val="00DE22ED"/>
    <w:rsid w:val="00DF3BFC"/>
    <w:rsid w:val="00E31EEF"/>
    <w:rsid w:val="00E50BA5"/>
    <w:rsid w:val="00E533E6"/>
    <w:rsid w:val="00E5682D"/>
    <w:rsid w:val="00E61697"/>
    <w:rsid w:val="00E72037"/>
    <w:rsid w:val="00E951E8"/>
    <w:rsid w:val="00EA02AF"/>
    <w:rsid w:val="00ED0D3B"/>
    <w:rsid w:val="00ED2CC3"/>
    <w:rsid w:val="00ED4494"/>
    <w:rsid w:val="00EE64E4"/>
    <w:rsid w:val="00F030FD"/>
    <w:rsid w:val="00F352F0"/>
    <w:rsid w:val="00F43F6F"/>
    <w:rsid w:val="00F7404B"/>
    <w:rsid w:val="00F81DF1"/>
    <w:rsid w:val="00F914D4"/>
    <w:rsid w:val="00FA1006"/>
    <w:rsid w:val="00FA1F5B"/>
    <w:rsid w:val="00FD16FD"/>
    <w:rsid w:val="00FE4D1F"/>
    <w:rsid w:val="00FF1F8F"/>
    <w:rsid w:val="00FF27E4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F2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4E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EE64E4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10F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371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537135"/>
  </w:style>
  <w:style w:type="paragraph" w:styleId="Pieddepage">
    <w:name w:val="footer"/>
    <w:basedOn w:val="Normal"/>
    <w:link w:val="PieddepageCar"/>
    <w:uiPriority w:val="99"/>
    <w:unhideWhenUsed/>
    <w:rsid w:val="005371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37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9EFA-757E-476C-87EF-C44EF432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Missou</dc:creator>
  <cp:lastModifiedBy>Customer</cp:lastModifiedBy>
  <cp:revision>52</cp:revision>
  <cp:lastPrinted>2016-02-25T07:12:00Z</cp:lastPrinted>
  <dcterms:created xsi:type="dcterms:W3CDTF">2015-06-06T10:39:00Z</dcterms:created>
  <dcterms:modified xsi:type="dcterms:W3CDTF">2019-03-13T10:53:00Z</dcterms:modified>
</cp:coreProperties>
</file>