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ARNAUD N., POUPEAU G., 1998</w:t>
      </w:r>
      <w:r w:rsidRPr="00E90F9B">
        <w:rPr>
          <w:rFonts w:ascii="Times New Roman" w:hAnsi="Times New Roman" w:cs="Times New Roman"/>
          <w:sz w:val="28"/>
          <w:szCs w:val="28"/>
        </w:rPr>
        <w:t xml:space="preserve"> – La datation des obsidiennes, dans « Synthèse sur l’obsidienne au Proche-Orient : du volcan à l’outil (</w:t>
      </w:r>
      <w:r w:rsidRPr="00E90F9B">
        <w:rPr>
          <w:rFonts w:ascii="Times New Roman" w:hAnsi="Times New Roman" w:cs="Times New Roman"/>
          <w:i/>
          <w:sz w:val="28"/>
          <w:szCs w:val="28"/>
        </w:rPr>
        <w:t>géologie, géochimie, datation, archéologie</w:t>
      </w:r>
      <w:r w:rsidRPr="00E90F9B">
        <w:rPr>
          <w:rFonts w:ascii="Times New Roman" w:hAnsi="Times New Roman" w:cs="Times New Roman"/>
          <w:sz w:val="28"/>
          <w:szCs w:val="28"/>
        </w:rPr>
        <w:t xml:space="preserve">) »,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. M.-C. Cauvin, A. Gourgaud, B.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Gratuze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J.-L.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Poidevin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et G.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Poupeau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BAR International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Raparatum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, Oxford, 49-51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sz w:val="28"/>
          <w:szCs w:val="28"/>
        </w:rPr>
        <w:t>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>BRESSY C., BINTZ P., POUPEAU G., BARRAT J.A., KELLER F., 1999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– ICP-MS Flint characterization and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sourcing.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The La Grande-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Rivoire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Meso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>- to Neolithic site case (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Northren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Alps, France). </w:t>
      </w:r>
      <w:proofErr w:type="gramStart"/>
      <w:r w:rsidRPr="00E90F9B">
        <w:rPr>
          <w:rFonts w:ascii="Times New Roman" w:hAnsi="Times New Roman" w:cs="Times New Roman"/>
          <w:sz w:val="28"/>
          <w:szCs w:val="28"/>
          <w:lang w:val="en-US"/>
        </w:rPr>
        <w:t>In :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6th International conference of non-destructive testing and microanalysis for the diagnostics and conservation of the cultural and environmental heritage. </w:t>
      </w:r>
      <w:r w:rsidRPr="00E90F9B">
        <w:rPr>
          <w:rFonts w:ascii="Times New Roman" w:hAnsi="Times New Roman" w:cs="Times New Roman"/>
          <w:sz w:val="28"/>
          <w:szCs w:val="28"/>
        </w:rPr>
        <w:t>Rome, May 17th – 20th 1999.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CAUVIN M.C., 1998 –</w:t>
      </w:r>
      <w:r w:rsidRPr="00E90F9B">
        <w:rPr>
          <w:rFonts w:ascii="Times New Roman" w:hAnsi="Times New Roman" w:cs="Times New Roman"/>
          <w:sz w:val="28"/>
          <w:szCs w:val="28"/>
        </w:rPr>
        <w:t xml:space="preserve"> L’obsidienne : données récentes provenant de sites-habitats néolithiques, dans « Synthèse sur l’obsidienne au Proche-Orient : du volcan à l’outil (</w:t>
      </w:r>
      <w:r w:rsidRPr="00E90F9B">
        <w:rPr>
          <w:rFonts w:ascii="Times New Roman" w:hAnsi="Times New Roman" w:cs="Times New Roman"/>
          <w:i/>
          <w:sz w:val="28"/>
          <w:szCs w:val="28"/>
        </w:rPr>
        <w:t>géologie, géochimie, datation, archéologie</w:t>
      </w:r>
      <w:r w:rsidRPr="00E90F9B">
        <w:rPr>
          <w:rFonts w:ascii="Times New Roman" w:hAnsi="Times New Roman" w:cs="Times New Roman"/>
          <w:sz w:val="28"/>
          <w:szCs w:val="28"/>
        </w:rPr>
        <w:t xml:space="preserve">) »,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. M.-C. Cauvin, A. Gourgaud, B.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Gratuze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J.-L.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Poidevin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et G.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Poupeau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BAR International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Raparatum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, Oxford, 259-271.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COGNE J., GIOT P.-R., 1952</w:t>
      </w:r>
      <w:r w:rsidRPr="00E90F9B">
        <w:rPr>
          <w:rFonts w:ascii="Times New Roman" w:hAnsi="Times New Roman" w:cs="Times New Roman"/>
          <w:sz w:val="28"/>
          <w:szCs w:val="28"/>
        </w:rPr>
        <w:t xml:space="preserve"> – Etude pétrographique des haches polies de Bretagne</w:t>
      </w:r>
      <w:r w:rsidRPr="00E90F9B">
        <w:rPr>
          <w:rFonts w:ascii="Times New Roman" w:hAnsi="Times New Roman" w:cs="Times New Roman"/>
          <w:i/>
          <w:sz w:val="28"/>
          <w:szCs w:val="28"/>
        </w:rPr>
        <w:t>. Bulletin de la Société Préhistorique Française,</w:t>
      </w:r>
      <w:r w:rsidRPr="00E90F9B">
        <w:rPr>
          <w:rFonts w:ascii="Times New Roman" w:hAnsi="Times New Roman" w:cs="Times New Roman"/>
          <w:sz w:val="28"/>
          <w:szCs w:val="28"/>
        </w:rPr>
        <w:t xml:space="preserve"> 49, p. 388-395.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GREGOIRE S., 2000 –</w:t>
      </w:r>
      <w:r w:rsidRPr="00E90F9B">
        <w:rPr>
          <w:rFonts w:ascii="Times New Roman" w:hAnsi="Times New Roman" w:cs="Times New Roman"/>
          <w:sz w:val="28"/>
          <w:szCs w:val="28"/>
        </w:rPr>
        <w:t xml:space="preserve"> Origine des matières premières des industries lithiques du Paléolithique pyrénéen et méditerranéen. Contribution à la connaissance des aires de circulations humaines. Thèse de Doctorat de l’Université de Perpignan, 246 p., 73 fig.</w:t>
      </w:r>
      <w:proofErr w:type="gramStart"/>
      <w:r w:rsidRPr="00E90F9B">
        <w:rPr>
          <w:rFonts w:ascii="Times New Roman" w:hAnsi="Times New Roman" w:cs="Times New Roman"/>
          <w:sz w:val="28"/>
          <w:szCs w:val="28"/>
        </w:rPr>
        <w:t>,63</w:t>
      </w:r>
      <w:proofErr w:type="gram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tabl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., 30 photos.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MASSON A., 1987 –</w:t>
      </w:r>
      <w:r w:rsidRPr="00E90F9B">
        <w:rPr>
          <w:rFonts w:ascii="Times New Roman" w:hAnsi="Times New Roman" w:cs="Times New Roman"/>
          <w:sz w:val="28"/>
          <w:szCs w:val="28"/>
        </w:rPr>
        <w:t xml:space="preserve"> L’homme et le matériel lithique et céramique, Pétrographie, roches siliceuses. In : </w:t>
      </w:r>
      <w:r w:rsidRPr="00E90F9B">
        <w:rPr>
          <w:rFonts w:ascii="Times New Roman" w:hAnsi="Times New Roman" w:cs="Times New Roman"/>
          <w:i/>
          <w:sz w:val="28"/>
          <w:szCs w:val="28"/>
        </w:rPr>
        <w:t xml:space="preserve">Géologie de la Préhistoire </w:t>
      </w:r>
      <w:r w:rsidRPr="00E90F9B">
        <w:rPr>
          <w:rFonts w:ascii="Times New Roman" w:hAnsi="Times New Roman" w:cs="Times New Roman"/>
          <w:sz w:val="28"/>
          <w:szCs w:val="28"/>
        </w:rPr>
        <w:t xml:space="preserve">(sous la direction de J.-C.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Miskovsky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), Ed. GEOPRE, Paris.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McK</w:t>
      </w:r>
      <w:proofErr w:type="spellEnd"/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CLOUGH T.-H, CUMMINS W.-A., 1988 –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Stone axe studies.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0F9B">
        <w:rPr>
          <w:rFonts w:ascii="Times New Roman" w:hAnsi="Times New Roman" w:cs="Times New Roman"/>
          <w:sz w:val="28"/>
          <w:szCs w:val="28"/>
          <w:lang w:val="en-US"/>
        </w:rPr>
        <w:t>II :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The petrology of prehistoric stone implements from the British Isles. </w:t>
      </w:r>
      <w:proofErr w:type="gramStart"/>
      <w:r w:rsidRPr="00E90F9B">
        <w:rPr>
          <w:rFonts w:ascii="Times New Roman" w:hAnsi="Times New Roman" w:cs="Times New Roman"/>
          <w:sz w:val="28"/>
          <w:szCs w:val="28"/>
          <w:lang w:val="en-US"/>
        </w:rPr>
        <w:t>CBA Research Report, 67, 297 p.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PETREQUIN P., JEUDY F., JEUNESSE C., 1992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– Neolithic Quarries, the Exchange of Axes and Social Control in the Southern Vosges.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In: </w:t>
      </w:r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t>Trade and Exchange in Prehistoric Europe.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Proceedings of a Conference held at the University of Bristol, April 1992. Ed C.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Scarre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and F. Healy, p. 45-60.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 xml:space="preserve">POUPEAU G., BIGAZZI G., BELLOT-GURLET L., DORIGHEL O., 1998 </w:t>
      </w:r>
      <w:r w:rsidRPr="00E90F9B">
        <w:rPr>
          <w:rFonts w:ascii="Times New Roman" w:hAnsi="Times New Roman" w:cs="Times New Roman"/>
          <w:sz w:val="28"/>
          <w:szCs w:val="28"/>
        </w:rPr>
        <w:t>– Fission-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dating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obsidians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archaeology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, dans « Synthèse sur l’obsidienne au Proche-Orient : du volcan à l’outil (</w:t>
      </w:r>
      <w:r w:rsidRPr="00E90F9B">
        <w:rPr>
          <w:rFonts w:ascii="Times New Roman" w:hAnsi="Times New Roman" w:cs="Times New Roman"/>
          <w:i/>
          <w:sz w:val="28"/>
          <w:szCs w:val="28"/>
        </w:rPr>
        <w:t>géologie, géochimie, datation, archéologie</w:t>
      </w:r>
      <w:r w:rsidRPr="00E90F9B">
        <w:rPr>
          <w:rFonts w:ascii="Times New Roman" w:hAnsi="Times New Roman" w:cs="Times New Roman"/>
          <w:sz w:val="28"/>
          <w:szCs w:val="28"/>
        </w:rPr>
        <w:t xml:space="preserve">) »,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. M.-C. Cauvin, A. Gourgaud, B.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Gratuze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J.-L.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Poidevin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et G.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Poupeau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BAR International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F9B">
        <w:rPr>
          <w:rFonts w:ascii="Times New Roman" w:hAnsi="Times New Roman" w:cs="Times New Roman"/>
          <w:sz w:val="28"/>
          <w:szCs w:val="28"/>
        </w:rPr>
        <w:t>Raparatum</w:t>
      </w:r>
      <w:proofErr w:type="spellEnd"/>
      <w:r w:rsidRPr="00E90F9B">
        <w:rPr>
          <w:rFonts w:ascii="Times New Roman" w:hAnsi="Times New Roman" w:cs="Times New Roman"/>
          <w:sz w:val="28"/>
          <w:szCs w:val="28"/>
        </w:rPr>
        <w:t>, Oxford, 53-67.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  <w:lang w:val="en-US"/>
        </w:rPr>
        <w:t>THOMPSON M., BUSH P. R. et FERGUSON J., 1986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– The analysis of flint by Inductively Coupled Plasma Atomic Emission Spectrometry, as a method of source determination, </w:t>
      </w:r>
      <w:proofErr w:type="gramStart"/>
      <w:r w:rsidRPr="00E90F9B">
        <w:rPr>
          <w:rFonts w:ascii="Times New Roman" w:hAnsi="Times New Roman" w:cs="Times New Roman"/>
          <w:sz w:val="28"/>
          <w:szCs w:val="28"/>
          <w:lang w:val="en-US"/>
        </w:rPr>
        <w:t>in :</w:t>
      </w:r>
      <w:proofErr w:type="gram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scientific study of flint and </w:t>
      </w:r>
      <w:proofErr w:type="spellStart"/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t>chert</w:t>
      </w:r>
      <w:proofErr w:type="spellEnd"/>
      <w:r w:rsidRPr="00E90F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E90F9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Sieveking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 xml:space="preserve"> G. et Hart M. B. </w:t>
      </w:r>
      <w:proofErr w:type="spellStart"/>
      <w:r w:rsidRPr="00E90F9B">
        <w:rPr>
          <w:rFonts w:ascii="Times New Roman" w:hAnsi="Times New Roman" w:cs="Times New Roman"/>
          <w:sz w:val="28"/>
          <w:szCs w:val="28"/>
          <w:lang w:val="en-US"/>
        </w:rPr>
        <w:t>édits</w:t>
      </w:r>
      <w:proofErr w:type="spellEnd"/>
      <w:r w:rsidRPr="00E90F9B">
        <w:rPr>
          <w:rFonts w:ascii="Times New Roman" w:hAnsi="Times New Roman" w:cs="Times New Roman"/>
          <w:sz w:val="28"/>
          <w:szCs w:val="28"/>
          <w:lang w:val="en-US"/>
        </w:rPr>
        <w:t>.), Cambridge University Press, p. 243-247.</w:t>
      </w:r>
    </w:p>
    <w:p w:rsidR="00E90F9B" w:rsidRPr="00E90F9B" w:rsidRDefault="00E90F9B" w:rsidP="003E050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411A" w:rsidRPr="00E90F9B" w:rsidRDefault="00E90F9B" w:rsidP="003E0504">
      <w:pPr>
        <w:bidi/>
        <w:jc w:val="right"/>
        <w:rPr>
          <w:rFonts w:asciiTheme="minorBidi" w:hAnsiTheme="minorBidi"/>
          <w:sz w:val="28"/>
          <w:szCs w:val="28"/>
          <w:lang w:bidi="ar-DZ"/>
        </w:rPr>
      </w:pPr>
      <w:r w:rsidRPr="00E90F9B">
        <w:rPr>
          <w:rFonts w:ascii="Times New Roman" w:hAnsi="Times New Roman" w:cs="Times New Roman"/>
          <w:b/>
          <w:bCs/>
          <w:sz w:val="28"/>
          <w:szCs w:val="28"/>
        </w:rPr>
        <w:t>TORTI C., 1980 –</w:t>
      </w:r>
      <w:r w:rsidRPr="00E90F9B">
        <w:rPr>
          <w:rFonts w:ascii="Times New Roman" w:hAnsi="Times New Roman" w:cs="Times New Roman"/>
          <w:sz w:val="28"/>
          <w:szCs w:val="28"/>
        </w:rPr>
        <w:t xml:space="preserve"> Circulations paléolithiques : questions de longueur … et de prudence. </w:t>
      </w:r>
      <w:r w:rsidRPr="00E90F9B">
        <w:rPr>
          <w:rFonts w:ascii="Times New Roman" w:hAnsi="Times New Roman" w:cs="Times New Roman"/>
          <w:i/>
          <w:sz w:val="28"/>
          <w:szCs w:val="28"/>
        </w:rPr>
        <w:t xml:space="preserve">BSPF </w:t>
      </w:r>
      <w:r w:rsidRPr="00E90F9B">
        <w:rPr>
          <w:rFonts w:ascii="Times New Roman" w:hAnsi="Times New Roman" w:cs="Times New Roman"/>
          <w:sz w:val="28"/>
          <w:szCs w:val="28"/>
        </w:rPr>
        <w:t>80 (2), pp. 44-45</w:t>
      </w:r>
    </w:p>
    <w:sectPr w:rsidR="0000411A" w:rsidRPr="00E90F9B" w:rsidSect="002A623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95" w:rsidRDefault="00D11995" w:rsidP="00537135">
      <w:pPr>
        <w:spacing w:after="0" w:line="240" w:lineRule="auto"/>
      </w:pPr>
      <w:r>
        <w:separator/>
      </w:r>
    </w:p>
  </w:endnote>
  <w:endnote w:type="continuationSeparator" w:id="1">
    <w:p w:rsidR="00D11995" w:rsidRDefault="00D11995" w:rsidP="0053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5" w:rsidRDefault="00D802F5" w:rsidP="001E6295">
    <w:pPr>
      <w:pStyle w:val="Pieddepage"/>
    </w:pPr>
  </w:p>
  <w:p w:rsidR="00D802F5" w:rsidRDefault="00D802F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35" w:rsidRDefault="002A6235" w:rsidP="00B11A9A">
    <w:pPr>
      <w:pStyle w:val="Pieddepage"/>
      <w:jc w:val="center"/>
    </w:pPr>
  </w:p>
  <w:p w:rsidR="003247A0" w:rsidRDefault="003247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95" w:rsidRDefault="00D11995" w:rsidP="00537135">
      <w:pPr>
        <w:spacing w:after="0" w:line="240" w:lineRule="auto"/>
      </w:pPr>
      <w:r>
        <w:separator/>
      </w:r>
    </w:p>
  </w:footnote>
  <w:footnote w:type="continuationSeparator" w:id="1">
    <w:p w:rsidR="00D11995" w:rsidRDefault="00D11995" w:rsidP="00537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65B"/>
    <w:multiLevelType w:val="hybridMultilevel"/>
    <w:tmpl w:val="DFAEB82E"/>
    <w:lvl w:ilvl="0" w:tplc="5FE44A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86842"/>
    <w:multiLevelType w:val="hybridMultilevel"/>
    <w:tmpl w:val="D24C2BCE"/>
    <w:lvl w:ilvl="0" w:tplc="FAA8B4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E34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08ED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B86F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A2A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5A03B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266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C00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BE52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97C84"/>
    <w:rsid w:val="0000411A"/>
    <w:rsid w:val="00063608"/>
    <w:rsid w:val="00064A8E"/>
    <w:rsid w:val="00076DA1"/>
    <w:rsid w:val="000B45C2"/>
    <w:rsid w:val="000E5E65"/>
    <w:rsid w:val="00100DE6"/>
    <w:rsid w:val="001332B4"/>
    <w:rsid w:val="0013418F"/>
    <w:rsid w:val="00144018"/>
    <w:rsid w:val="001524DF"/>
    <w:rsid w:val="00166E65"/>
    <w:rsid w:val="001733B3"/>
    <w:rsid w:val="00180D8C"/>
    <w:rsid w:val="0019578A"/>
    <w:rsid w:val="001B6B5D"/>
    <w:rsid w:val="001B768B"/>
    <w:rsid w:val="001C48D7"/>
    <w:rsid w:val="001D72EE"/>
    <w:rsid w:val="001E5F59"/>
    <w:rsid w:val="001E6295"/>
    <w:rsid w:val="001F497E"/>
    <w:rsid w:val="001F6C76"/>
    <w:rsid w:val="0021787A"/>
    <w:rsid w:val="00265CAC"/>
    <w:rsid w:val="00280C9A"/>
    <w:rsid w:val="002A6235"/>
    <w:rsid w:val="002B1F96"/>
    <w:rsid w:val="002C26AC"/>
    <w:rsid w:val="002C3545"/>
    <w:rsid w:val="00310065"/>
    <w:rsid w:val="003167BA"/>
    <w:rsid w:val="00316D9D"/>
    <w:rsid w:val="003247A0"/>
    <w:rsid w:val="00351C11"/>
    <w:rsid w:val="00367050"/>
    <w:rsid w:val="00391D23"/>
    <w:rsid w:val="003A10FE"/>
    <w:rsid w:val="003A2020"/>
    <w:rsid w:val="003A5B38"/>
    <w:rsid w:val="003C08CD"/>
    <w:rsid w:val="003C37CB"/>
    <w:rsid w:val="003E0504"/>
    <w:rsid w:val="00427D03"/>
    <w:rsid w:val="004305D3"/>
    <w:rsid w:val="00430A69"/>
    <w:rsid w:val="00430F18"/>
    <w:rsid w:val="00450902"/>
    <w:rsid w:val="00482366"/>
    <w:rsid w:val="004929F9"/>
    <w:rsid w:val="00497C84"/>
    <w:rsid w:val="004E43D4"/>
    <w:rsid w:val="005023C2"/>
    <w:rsid w:val="00536579"/>
    <w:rsid w:val="00537135"/>
    <w:rsid w:val="005608FD"/>
    <w:rsid w:val="0056538B"/>
    <w:rsid w:val="0058009E"/>
    <w:rsid w:val="005803B7"/>
    <w:rsid w:val="00582CB1"/>
    <w:rsid w:val="00585C42"/>
    <w:rsid w:val="006074F4"/>
    <w:rsid w:val="006075F9"/>
    <w:rsid w:val="00612E57"/>
    <w:rsid w:val="00640794"/>
    <w:rsid w:val="00662F23"/>
    <w:rsid w:val="00664131"/>
    <w:rsid w:val="006B160F"/>
    <w:rsid w:val="006D326A"/>
    <w:rsid w:val="006E0783"/>
    <w:rsid w:val="0070601D"/>
    <w:rsid w:val="00717170"/>
    <w:rsid w:val="00746B7F"/>
    <w:rsid w:val="00747EED"/>
    <w:rsid w:val="007778B3"/>
    <w:rsid w:val="007B0E82"/>
    <w:rsid w:val="007B1517"/>
    <w:rsid w:val="007B799B"/>
    <w:rsid w:val="007D12C3"/>
    <w:rsid w:val="007E5B83"/>
    <w:rsid w:val="007F16E4"/>
    <w:rsid w:val="00803CB0"/>
    <w:rsid w:val="00845210"/>
    <w:rsid w:val="00852D9F"/>
    <w:rsid w:val="00872EA9"/>
    <w:rsid w:val="008A41AD"/>
    <w:rsid w:val="008A6DA6"/>
    <w:rsid w:val="008B1FF1"/>
    <w:rsid w:val="008C4D79"/>
    <w:rsid w:val="00947140"/>
    <w:rsid w:val="0095402F"/>
    <w:rsid w:val="009673CF"/>
    <w:rsid w:val="00994DA0"/>
    <w:rsid w:val="009A007D"/>
    <w:rsid w:val="009A39A1"/>
    <w:rsid w:val="009B5173"/>
    <w:rsid w:val="009D6141"/>
    <w:rsid w:val="009F00AB"/>
    <w:rsid w:val="00A0054B"/>
    <w:rsid w:val="00A041D1"/>
    <w:rsid w:val="00A123E4"/>
    <w:rsid w:val="00A17A21"/>
    <w:rsid w:val="00A3209B"/>
    <w:rsid w:val="00A340E9"/>
    <w:rsid w:val="00A52556"/>
    <w:rsid w:val="00A62E83"/>
    <w:rsid w:val="00A65932"/>
    <w:rsid w:val="00A66B68"/>
    <w:rsid w:val="00AC5045"/>
    <w:rsid w:val="00AD1622"/>
    <w:rsid w:val="00AD3815"/>
    <w:rsid w:val="00AD56D0"/>
    <w:rsid w:val="00AD7AAE"/>
    <w:rsid w:val="00B03A59"/>
    <w:rsid w:val="00B11A9A"/>
    <w:rsid w:val="00B2717E"/>
    <w:rsid w:val="00B44E93"/>
    <w:rsid w:val="00B564FD"/>
    <w:rsid w:val="00B73663"/>
    <w:rsid w:val="00BA7939"/>
    <w:rsid w:val="00BB29D1"/>
    <w:rsid w:val="00BB45BB"/>
    <w:rsid w:val="00BB56BE"/>
    <w:rsid w:val="00C01779"/>
    <w:rsid w:val="00C0262B"/>
    <w:rsid w:val="00C10F54"/>
    <w:rsid w:val="00C26733"/>
    <w:rsid w:val="00C362D7"/>
    <w:rsid w:val="00C60135"/>
    <w:rsid w:val="00C65532"/>
    <w:rsid w:val="00C7092B"/>
    <w:rsid w:val="00C74110"/>
    <w:rsid w:val="00CB363A"/>
    <w:rsid w:val="00CE0439"/>
    <w:rsid w:val="00D06A6F"/>
    <w:rsid w:val="00D11995"/>
    <w:rsid w:val="00D367F2"/>
    <w:rsid w:val="00D4124C"/>
    <w:rsid w:val="00D41EFF"/>
    <w:rsid w:val="00D67885"/>
    <w:rsid w:val="00D802F5"/>
    <w:rsid w:val="00D87340"/>
    <w:rsid w:val="00DA2933"/>
    <w:rsid w:val="00DA7276"/>
    <w:rsid w:val="00DD5857"/>
    <w:rsid w:val="00DE22ED"/>
    <w:rsid w:val="00DF3BFC"/>
    <w:rsid w:val="00E31EEF"/>
    <w:rsid w:val="00E50BA5"/>
    <w:rsid w:val="00E533E6"/>
    <w:rsid w:val="00E5682D"/>
    <w:rsid w:val="00E61697"/>
    <w:rsid w:val="00E72037"/>
    <w:rsid w:val="00E90F9B"/>
    <w:rsid w:val="00EA02AF"/>
    <w:rsid w:val="00ED0D3B"/>
    <w:rsid w:val="00ED2CC3"/>
    <w:rsid w:val="00ED4494"/>
    <w:rsid w:val="00EE64E4"/>
    <w:rsid w:val="00F030FD"/>
    <w:rsid w:val="00F352F0"/>
    <w:rsid w:val="00F43F6F"/>
    <w:rsid w:val="00F7404B"/>
    <w:rsid w:val="00F81DF1"/>
    <w:rsid w:val="00F914D4"/>
    <w:rsid w:val="00FA1006"/>
    <w:rsid w:val="00FA1F5B"/>
    <w:rsid w:val="00FD16FD"/>
    <w:rsid w:val="00FE4D1F"/>
    <w:rsid w:val="00FF1F8F"/>
    <w:rsid w:val="00FF27E4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B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4E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E64E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10F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371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37135"/>
  </w:style>
  <w:style w:type="paragraph" w:styleId="Pieddepage">
    <w:name w:val="footer"/>
    <w:basedOn w:val="Normal"/>
    <w:link w:val="PieddepageCar"/>
    <w:uiPriority w:val="99"/>
    <w:unhideWhenUsed/>
    <w:rsid w:val="005371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7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9EFA-757E-476C-87EF-C44EF432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</dc:creator>
  <cp:lastModifiedBy>Customer</cp:lastModifiedBy>
  <cp:revision>51</cp:revision>
  <cp:lastPrinted>2016-02-25T07:12:00Z</cp:lastPrinted>
  <dcterms:created xsi:type="dcterms:W3CDTF">2015-06-06T10:39:00Z</dcterms:created>
  <dcterms:modified xsi:type="dcterms:W3CDTF">2019-03-13T09:48:00Z</dcterms:modified>
</cp:coreProperties>
</file>