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FD" w:rsidRPr="000F2A5F" w:rsidRDefault="008A44FD" w:rsidP="007D3E5E">
      <w:pPr>
        <w:autoSpaceDE w:val="0"/>
        <w:autoSpaceDN w:val="0"/>
        <w:adjustRightInd w:val="0"/>
        <w:spacing w:before="120" w:after="0"/>
        <w:jc w:val="both"/>
        <w:rPr>
          <w:rFonts w:ascii="Times New Roman" w:hAnsi="Times New Roman" w:cs="Times New Roman"/>
          <w:sz w:val="28"/>
          <w:szCs w:val="28"/>
        </w:rPr>
      </w:pPr>
      <w:proofErr w:type="spellStart"/>
      <w:r w:rsidRPr="000F2A5F">
        <w:rPr>
          <w:rFonts w:ascii="Times New Roman" w:hAnsi="Times New Roman" w:cs="Times New Roman"/>
          <w:b/>
          <w:bCs/>
          <w:sz w:val="28"/>
          <w:szCs w:val="28"/>
        </w:rPr>
        <w:t>Dir</w:t>
      </w:r>
      <w:proofErr w:type="spellEnd"/>
      <w:r w:rsidRPr="000F2A5F">
        <w:rPr>
          <w:rFonts w:ascii="Times New Roman" w:hAnsi="Times New Roman" w:cs="Times New Roman"/>
          <w:b/>
          <w:bCs/>
          <w:sz w:val="28"/>
          <w:szCs w:val="28"/>
        </w:rPr>
        <w:t xml:space="preserve"> FERDIERE A., 1998 –</w:t>
      </w:r>
      <w:r w:rsidRPr="000F2A5F">
        <w:rPr>
          <w:rFonts w:ascii="Times New Roman" w:hAnsi="Times New Roman" w:cs="Times New Roman"/>
          <w:sz w:val="28"/>
          <w:szCs w:val="28"/>
        </w:rPr>
        <w:t xml:space="preserve"> Les méthodes de datation en laboratoire. Errance </w:t>
      </w:r>
      <w:proofErr w:type="spellStart"/>
      <w:proofErr w:type="gramStart"/>
      <w:r w:rsidRPr="000F2A5F">
        <w:rPr>
          <w:rFonts w:ascii="Times New Roman" w:hAnsi="Times New Roman" w:cs="Times New Roman"/>
          <w:sz w:val="28"/>
          <w:szCs w:val="28"/>
        </w:rPr>
        <w:t>edit</w:t>
      </w:r>
      <w:proofErr w:type="spellEnd"/>
      <w:r w:rsidRPr="000F2A5F">
        <w:rPr>
          <w:rFonts w:ascii="Times New Roman" w:hAnsi="Times New Roman" w:cs="Times New Roman"/>
          <w:sz w:val="28"/>
          <w:szCs w:val="28"/>
        </w:rPr>
        <w:t>.,</w:t>
      </w:r>
      <w:proofErr w:type="gramEnd"/>
      <w:r w:rsidRPr="000F2A5F">
        <w:rPr>
          <w:rFonts w:ascii="Times New Roman" w:hAnsi="Times New Roman" w:cs="Times New Roman"/>
          <w:sz w:val="28"/>
          <w:szCs w:val="28"/>
        </w:rPr>
        <w:t xml:space="preserve"> 190.p</w:t>
      </w:r>
    </w:p>
    <w:p w:rsidR="000F2A5F" w:rsidRPr="000F2A5F" w:rsidRDefault="000F2A5F" w:rsidP="007D3E5E">
      <w:pPr>
        <w:autoSpaceDE w:val="0"/>
        <w:autoSpaceDN w:val="0"/>
        <w:adjustRightInd w:val="0"/>
        <w:spacing w:before="120" w:after="0"/>
        <w:jc w:val="both"/>
        <w:rPr>
          <w:rFonts w:ascii="Times New Roman" w:hAnsi="Times New Roman" w:cs="Times New Roman"/>
          <w:sz w:val="28"/>
          <w:szCs w:val="28"/>
        </w:rPr>
      </w:pPr>
    </w:p>
    <w:p w:rsidR="008A44FD" w:rsidRDefault="008A44FD" w:rsidP="007D3E5E">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DUNAND M</w:t>
      </w:r>
      <w:proofErr w:type="gramStart"/>
      <w:r w:rsidRPr="000F2A5F">
        <w:rPr>
          <w:rFonts w:ascii="Times New Roman" w:hAnsi="Times New Roman" w:cs="Times New Roman"/>
          <w:b/>
          <w:bCs/>
          <w:sz w:val="28"/>
          <w:szCs w:val="28"/>
        </w:rPr>
        <w:t>. ,</w:t>
      </w:r>
      <w:proofErr w:type="gramEnd"/>
      <w:r w:rsidRPr="000F2A5F">
        <w:rPr>
          <w:rFonts w:ascii="Times New Roman" w:hAnsi="Times New Roman" w:cs="Times New Roman"/>
          <w:b/>
          <w:bCs/>
          <w:sz w:val="28"/>
          <w:szCs w:val="28"/>
        </w:rPr>
        <w:t xml:space="preserve"> 1987</w:t>
      </w:r>
      <w:r w:rsidRPr="000F2A5F">
        <w:rPr>
          <w:rFonts w:ascii="Times New Roman" w:hAnsi="Times New Roman" w:cs="Times New Roman"/>
          <w:sz w:val="28"/>
          <w:szCs w:val="28"/>
        </w:rPr>
        <w:t xml:space="preserve"> – </w:t>
      </w:r>
      <w:proofErr w:type="spellStart"/>
      <w:r w:rsidRPr="000F2A5F">
        <w:rPr>
          <w:rFonts w:ascii="Times New Roman" w:hAnsi="Times New Roman" w:cs="Times New Roman"/>
          <w:sz w:val="28"/>
          <w:szCs w:val="28"/>
        </w:rPr>
        <w:t>Racémisation</w:t>
      </w:r>
      <w:proofErr w:type="spellEnd"/>
      <w:r w:rsidRPr="000F2A5F">
        <w:rPr>
          <w:rFonts w:ascii="Times New Roman" w:hAnsi="Times New Roman" w:cs="Times New Roman"/>
          <w:sz w:val="28"/>
          <w:szCs w:val="28"/>
        </w:rPr>
        <w:t xml:space="preserve"> des acides aminés : in </w:t>
      </w:r>
      <w:proofErr w:type="spellStart"/>
      <w:r w:rsidRPr="000F2A5F">
        <w:rPr>
          <w:rFonts w:ascii="Times New Roman" w:hAnsi="Times New Roman" w:cs="Times New Roman"/>
          <w:sz w:val="28"/>
          <w:szCs w:val="28"/>
        </w:rPr>
        <w:t>dir</w:t>
      </w:r>
      <w:proofErr w:type="spellEnd"/>
      <w:r w:rsidRPr="000F2A5F">
        <w:rPr>
          <w:rFonts w:ascii="Times New Roman" w:hAnsi="Times New Roman" w:cs="Times New Roman"/>
          <w:sz w:val="28"/>
          <w:szCs w:val="28"/>
        </w:rPr>
        <w:t xml:space="preserve">. J.C. </w:t>
      </w:r>
      <w:proofErr w:type="spellStart"/>
      <w:r w:rsidRPr="000F2A5F">
        <w:rPr>
          <w:rFonts w:ascii="Times New Roman" w:hAnsi="Times New Roman" w:cs="Times New Roman"/>
          <w:sz w:val="28"/>
          <w:szCs w:val="28"/>
        </w:rPr>
        <w:t>Miskovski</w:t>
      </w:r>
      <w:proofErr w:type="spellEnd"/>
      <w:r w:rsidRPr="000F2A5F">
        <w:rPr>
          <w:rFonts w:ascii="Times New Roman" w:hAnsi="Times New Roman" w:cs="Times New Roman"/>
          <w:sz w:val="28"/>
          <w:szCs w:val="28"/>
        </w:rPr>
        <w:t xml:space="preserve"> : Géologie de la préhistoire: méthodes, techniques et applications, </w:t>
      </w:r>
      <w:proofErr w:type="spellStart"/>
      <w:r w:rsidRPr="000F2A5F">
        <w:rPr>
          <w:rFonts w:ascii="Times New Roman" w:hAnsi="Times New Roman" w:cs="Times New Roman"/>
          <w:sz w:val="28"/>
          <w:szCs w:val="28"/>
        </w:rPr>
        <w:t>Géopré</w:t>
      </w:r>
      <w:proofErr w:type="spellEnd"/>
      <w:r w:rsidRPr="000F2A5F">
        <w:rPr>
          <w:rFonts w:ascii="Times New Roman" w:hAnsi="Times New Roman" w:cs="Times New Roman"/>
          <w:sz w:val="28"/>
          <w:szCs w:val="28"/>
        </w:rPr>
        <w:t xml:space="preserve"> </w:t>
      </w:r>
      <w:proofErr w:type="spellStart"/>
      <w:r w:rsidRPr="000F2A5F">
        <w:rPr>
          <w:rFonts w:ascii="Times New Roman" w:hAnsi="Times New Roman" w:cs="Times New Roman"/>
          <w:sz w:val="28"/>
          <w:szCs w:val="28"/>
        </w:rPr>
        <w:t>edit</w:t>
      </w:r>
      <w:proofErr w:type="spellEnd"/>
      <w:r w:rsidRPr="000F2A5F">
        <w:rPr>
          <w:rFonts w:ascii="Times New Roman" w:hAnsi="Times New Roman" w:cs="Times New Roman"/>
          <w:sz w:val="28"/>
          <w:szCs w:val="28"/>
        </w:rPr>
        <w:t>., p. 1131-1141.</w:t>
      </w:r>
    </w:p>
    <w:p w:rsidR="007D3E5E" w:rsidRPr="000F2A5F" w:rsidRDefault="007D3E5E" w:rsidP="007D3E5E">
      <w:pPr>
        <w:autoSpaceDE w:val="0"/>
        <w:autoSpaceDN w:val="0"/>
        <w:adjustRightInd w:val="0"/>
        <w:spacing w:before="120" w:after="0"/>
        <w:jc w:val="both"/>
        <w:rPr>
          <w:rFonts w:ascii="Times New Roman" w:hAnsi="Times New Roman" w:cs="Times New Roman"/>
          <w:sz w:val="28"/>
          <w:szCs w:val="28"/>
        </w:rPr>
      </w:pPr>
    </w:p>
    <w:p w:rsidR="007D3E5E" w:rsidRPr="007D3E5E" w:rsidRDefault="007D3E5E" w:rsidP="007D3E5E">
      <w:pPr>
        <w:autoSpaceDE w:val="0"/>
        <w:autoSpaceDN w:val="0"/>
        <w:adjustRightInd w:val="0"/>
        <w:spacing w:after="0"/>
        <w:jc w:val="both"/>
        <w:rPr>
          <w:rFonts w:asciiTheme="majorBidi" w:hAnsiTheme="majorBidi" w:cstheme="majorBidi"/>
          <w:sz w:val="28"/>
          <w:szCs w:val="28"/>
        </w:rPr>
      </w:pPr>
      <w:r w:rsidRPr="007D3E5E">
        <w:rPr>
          <w:rFonts w:asciiTheme="majorBidi" w:hAnsiTheme="majorBidi" w:cstheme="majorBidi"/>
          <w:b/>
          <w:bCs/>
          <w:sz w:val="28"/>
          <w:szCs w:val="28"/>
        </w:rPr>
        <w:t xml:space="preserve">Evin, J. &amp; C. Oberlin </w:t>
      </w:r>
      <w:r w:rsidRPr="007D3E5E">
        <w:rPr>
          <w:rFonts w:asciiTheme="majorBidi" w:hAnsiTheme="majorBidi" w:cstheme="majorBidi"/>
          <w:sz w:val="28"/>
          <w:szCs w:val="28"/>
        </w:rPr>
        <w:t xml:space="preserve">1998 La méthode de datation par le radiocarbone. </w:t>
      </w:r>
      <w:r w:rsidRPr="007D3E5E">
        <w:rPr>
          <w:rFonts w:asciiTheme="majorBidi" w:hAnsiTheme="majorBidi" w:cstheme="majorBidi"/>
          <w:i/>
          <w:iCs/>
          <w:sz w:val="28"/>
          <w:szCs w:val="28"/>
        </w:rPr>
        <w:t>In</w:t>
      </w:r>
      <w:r w:rsidRPr="007D3E5E">
        <w:rPr>
          <w:rFonts w:asciiTheme="majorBidi" w:hAnsiTheme="majorBidi" w:cstheme="majorBidi"/>
          <w:sz w:val="28"/>
          <w:szCs w:val="28"/>
        </w:rPr>
        <w:t xml:space="preserve">. : </w:t>
      </w:r>
      <w:r w:rsidRPr="007D3E5E">
        <w:rPr>
          <w:rFonts w:asciiTheme="majorBidi" w:hAnsiTheme="majorBidi" w:cstheme="majorBidi"/>
          <w:i/>
          <w:iCs/>
          <w:sz w:val="28"/>
          <w:szCs w:val="28"/>
        </w:rPr>
        <w:t>La datation en laboratoire, coll. "Archéologique"</w:t>
      </w:r>
      <w:r w:rsidRPr="007D3E5E">
        <w:rPr>
          <w:rFonts w:asciiTheme="majorBidi" w:hAnsiTheme="majorBidi" w:cstheme="majorBidi"/>
          <w:sz w:val="28"/>
          <w:szCs w:val="28"/>
        </w:rPr>
        <w:t xml:space="preserve">. </w:t>
      </w:r>
      <w:proofErr w:type="spellStart"/>
      <w:r w:rsidRPr="007D3E5E">
        <w:rPr>
          <w:rFonts w:asciiTheme="majorBidi" w:hAnsiTheme="majorBidi" w:cstheme="majorBidi"/>
          <w:sz w:val="28"/>
          <w:szCs w:val="28"/>
        </w:rPr>
        <w:t>Dir</w:t>
      </w:r>
      <w:proofErr w:type="spellEnd"/>
      <w:r w:rsidRPr="007D3E5E">
        <w:rPr>
          <w:rFonts w:asciiTheme="majorBidi" w:hAnsiTheme="majorBidi" w:cstheme="majorBidi"/>
          <w:sz w:val="28"/>
          <w:szCs w:val="28"/>
        </w:rPr>
        <w:t xml:space="preserve">. A. </w:t>
      </w:r>
      <w:proofErr w:type="spellStart"/>
      <w:r w:rsidRPr="007D3E5E">
        <w:rPr>
          <w:rFonts w:asciiTheme="majorBidi" w:hAnsiTheme="majorBidi" w:cstheme="majorBidi"/>
          <w:sz w:val="28"/>
          <w:szCs w:val="28"/>
        </w:rPr>
        <w:t>Ferdière</w:t>
      </w:r>
      <w:proofErr w:type="spellEnd"/>
      <w:r w:rsidRPr="007D3E5E">
        <w:rPr>
          <w:rFonts w:asciiTheme="majorBidi" w:hAnsiTheme="majorBidi" w:cstheme="majorBidi"/>
          <w:sz w:val="28"/>
          <w:szCs w:val="28"/>
        </w:rPr>
        <w:t xml:space="preserve">. Paris : Ed. Errance, pp. 75-117. </w:t>
      </w:r>
    </w:p>
    <w:p w:rsidR="000F2A5F" w:rsidRPr="000F2A5F" w:rsidRDefault="000F2A5F" w:rsidP="007D3E5E">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7D3E5E">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LANOS P., 1998</w:t>
      </w:r>
      <w:r w:rsidRPr="000F2A5F">
        <w:rPr>
          <w:rFonts w:ascii="Times New Roman" w:hAnsi="Times New Roman" w:cs="Times New Roman"/>
          <w:sz w:val="28"/>
          <w:szCs w:val="28"/>
        </w:rPr>
        <w:t xml:space="preserve"> – L’archéomagnétisme. In : Les méthodes de datation en laboratoire. Errance </w:t>
      </w:r>
      <w:proofErr w:type="spellStart"/>
      <w:proofErr w:type="gramStart"/>
      <w:r w:rsidRPr="000F2A5F">
        <w:rPr>
          <w:rFonts w:ascii="Times New Roman" w:hAnsi="Times New Roman" w:cs="Times New Roman"/>
          <w:sz w:val="28"/>
          <w:szCs w:val="28"/>
        </w:rPr>
        <w:t>edit</w:t>
      </w:r>
      <w:proofErr w:type="spellEnd"/>
      <w:r w:rsidRPr="000F2A5F">
        <w:rPr>
          <w:rFonts w:ascii="Times New Roman" w:hAnsi="Times New Roman" w:cs="Times New Roman"/>
          <w:sz w:val="28"/>
          <w:szCs w:val="28"/>
        </w:rPr>
        <w:t>.,</w:t>
      </w:r>
      <w:proofErr w:type="gramEnd"/>
      <w:r w:rsidRPr="000F2A5F">
        <w:rPr>
          <w:rFonts w:ascii="Times New Roman" w:hAnsi="Times New Roman" w:cs="Times New Roman"/>
          <w:sz w:val="28"/>
          <w:szCs w:val="28"/>
        </w:rPr>
        <w:t xml:space="preserve"> p. 119-165.</w:t>
      </w:r>
    </w:p>
    <w:p w:rsidR="000F2A5F" w:rsidRPr="000F2A5F" w:rsidRDefault="000F2A5F" w:rsidP="007D3E5E">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7D3E5E">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MAGNY M</w:t>
      </w:r>
      <w:proofErr w:type="gramStart"/>
      <w:r w:rsidRPr="000F2A5F">
        <w:rPr>
          <w:rFonts w:ascii="Times New Roman" w:hAnsi="Times New Roman" w:cs="Times New Roman"/>
          <w:b/>
          <w:bCs/>
          <w:sz w:val="28"/>
          <w:szCs w:val="28"/>
        </w:rPr>
        <w:t>. ,</w:t>
      </w:r>
      <w:proofErr w:type="gramEnd"/>
      <w:r w:rsidRPr="000F2A5F">
        <w:rPr>
          <w:rFonts w:ascii="Times New Roman" w:hAnsi="Times New Roman" w:cs="Times New Roman"/>
          <w:b/>
          <w:bCs/>
          <w:sz w:val="28"/>
          <w:szCs w:val="28"/>
        </w:rPr>
        <w:t xml:space="preserve"> 1987</w:t>
      </w:r>
      <w:r w:rsidRPr="000F2A5F">
        <w:rPr>
          <w:rFonts w:ascii="Times New Roman" w:hAnsi="Times New Roman" w:cs="Times New Roman"/>
          <w:sz w:val="28"/>
          <w:szCs w:val="28"/>
        </w:rPr>
        <w:t xml:space="preserve"> – Varves, chronologie et recherche préhistorique : in </w:t>
      </w:r>
      <w:proofErr w:type="spellStart"/>
      <w:r w:rsidRPr="000F2A5F">
        <w:rPr>
          <w:rFonts w:ascii="Times New Roman" w:hAnsi="Times New Roman" w:cs="Times New Roman"/>
          <w:sz w:val="28"/>
          <w:szCs w:val="28"/>
        </w:rPr>
        <w:t>dir</w:t>
      </w:r>
      <w:proofErr w:type="spellEnd"/>
      <w:r w:rsidRPr="000F2A5F">
        <w:rPr>
          <w:rFonts w:ascii="Times New Roman" w:hAnsi="Times New Roman" w:cs="Times New Roman"/>
          <w:sz w:val="28"/>
          <w:szCs w:val="28"/>
        </w:rPr>
        <w:t xml:space="preserve">. J.C. </w:t>
      </w:r>
      <w:proofErr w:type="spellStart"/>
      <w:r w:rsidRPr="000F2A5F">
        <w:rPr>
          <w:rFonts w:ascii="Times New Roman" w:hAnsi="Times New Roman" w:cs="Times New Roman"/>
          <w:sz w:val="28"/>
          <w:szCs w:val="28"/>
        </w:rPr>
        <w:t>Miskovski</w:t>
      </w:r>
      <w:proofErr w:type="spellEnd"/>
      <w:r w:rsidRPr="000F2A5F">
        <w:rPr>
          <w:rFonts w:ascii="Times New Roman" w:hAnsi="Times New Roman" w:cs="Times New Roman"/>
          <w:sz w:val="28"/>
          <w:szCs w:val="28"/>
        </w:rPr>
        <w:t xml:space="preserve"> : Géologie de la préhistoire: méthodes, techniques et applications, </w:t>
      </w:r>
      <w:proofErr w:type="spellStart"/>
      <w:r w:rsidRPr="000F2A5F">
        <w:rPr>
          <w:rFonts w:ascii="Times New Roman" w:hAnsi="Times New Roman" w:cs="Times New Roman"/>
          <w:sz w:val="28"/>
          <w:szCs w:val="28"/>
        </w:rPr>
        <w:t>Géopré</w:t>
      </w:r>
      <w:proofErr w:type="spellEnd"/>
      <w:r w:rsidRPr="000F2A5F">
        <w:rPr>
          <w:rFonts w:ascii="Times New Roman" w:hAnsi="Times New Roman" w:cs="Times New Roman"/>
          <w:sz w:val="28"/>
          <w:szCs w:val="28"/>
        </w:rPr>
        <w:t xml:space="preserve"> </w:t>
      </w:r>
      <w:proofErr w:type="spellStart"/>
      <w:r w:rsidRPr="000F2A5F">
        <w:rPr>
          <w:rFonts w:ascii="Times New Roman" w:hAnsi="Times New Roman" w:cs="Times New Roman"/>
          <w:sz w:val="28"/>
          <w:szCs w:val="28"/>
        </w:rPr>
        <w:t>edit</w:t>
      </w:r>
      <w:proofErr w:type="spellEnd"/>
      <w:r w:rsidRPr="000F2A5F">
        <w:rPr>
          <w:rFonts w:ascii="Times New Roman" w:hAnsi="Times New Roman" w:cs="Times New Roman"/>
          <w:sz w:val="28"/>
          <w:szCs w:val="28"/>
        </w:rPr>
        <w:t>., p. 951-971.</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VERGNAUD-GRAZZINI C., 1987</w:t>
      </w:r>
      <w:r w:rsidRPr="000F2A5F">
        <w:rPr>
          <w:rFonts w:ascii="Times New Roman" w:hAnsi="Times New Roman" w:cs="Times New Roman"/>
          <w:sz w:val="28"/>
          <w:szCs w:val="28"/>
        </w:rPr>
        <w:t xml:space="preserve"> – Stratigraphie isotopique-isotopes stables de l’oxygène et du carbone : in </w:t>
      </w:r>
      <w:proofErr w:type="spellStart"/>
      <w:r w:rsidRPr="000F2A5F">
        <w:rPr>
          <w:rFonts w:ascii="Times New Roman" w:hAnsi="Times New Roman" w:cs="Times New Roman"/>
          <w:sz w:val="28"/>
          <w:szCs w:val="28"/>
        </w:rPr>
        <w:t>dir</w:t>
      </w:r>
      <w:proofErr w:type="spellEnd"/>
      <w:r w:rsidRPr="000F2A5F">
        <w:rPr>
          <w:rFonts w:ascii="Times New Roman" w:hAnsi="Times New Roman" w:cs="Times New Roman"/>
          <w:sz w:val="28"/>
          <w:szCs w:val="28"/>
        </w:rPr>
        <w:t xml:space="preserve">. J.C. </w:t>
      </w:r>
      <w:proofErr w:type="spellStart"/>
      <w:r w:rsidRPr="000F2A5F">
        <w:rPr>
          <w:rFonts w:ascii="Times New Roman" w:hAnsi="Times New Roman" w:cs="Times New Roman"/>
          <w:sz w:val="28"/>
          <w:szCs w:val="28"/>
        </w:rPr>
        <w:t>Miskovski</w:t>
      </w:r>
      <w:proofErr w:type="spellEnd"/>
      <w:r w:rsidRPr="000F2A5F">
        <w:rPr>
          <w:rFonts w:ascii="Times New Roman" w:hAnsi="Times New Roman" w:cs="Times New Roman"/>
          <w:sz w:val="28"/>
          <w:szCs w:val="28"/>
        </w:rPr>
        <w:t xml:space="preserve"> : Géologie de la préhistoire : méthodes, techniques et applications, </w:t>
      </w:r>
      <w:proofErr w:type="spellStart"/>
      <w:r w:rsidRPr="000F2A5F">
        <w:rPr>
          <w:rFonts w:ascii="Times New Roman" w:hAnsi="Times New Roman" w:cs="Times New Roman"/>
          <w:sz w:val="28"/>
          <w:szCs w:val="28"/>
        </w:rPr>
        <w:t>Géopré</w:t>
      </w:r>
      <w:proofErr w:type="spellEnd"/>
      <w:r w:rsidRPr="000F2A5F">
        <w:rPr>
          <w:rFonts w:ascii="Times New Roman" w:hAnsi="Times New Roman" w:cs="Times New Roman"/>
          <w:sz w:val="28"/>
          <w:szCs w:val="28"/>
        </w:rPr>
        <w:t xml:space="preserve"> </w:t>
      </w:r>
      <w:proofErr w:type="spellStart"/>
      <w:proofErr w:type="gramStart"/>
      <w:r w:rsidRPr="000F2A5F">
        <w:rPr>
          <w:rFonts w:ascii="Times New Roman" w:hAnsi="Times New Roman" w:cs="Times New Roman"/>
          <w:sz w:val="28"/>
          <w:szCs w:val="28"/>
        </w:rPr>
        <w:t>edit</w:t>
      </w:r>
      <w:proofErr w:type="spellEnd"/>
      <w:r w:rsidRPr="000F2A5F">
        <w:rPr>
          <w:rFonts w:ascii="Times New Roman" w:hAnsi="Times New Roman" w:cs="Times New Roman"/>
          <w:sz w:val="28"/>
          <w:szCs w:val="28"/>
        </w:rPr>
        <w:t>.,</w:t>
      </w:r>
      <w:proofErr w:type="gramEnd"/>
      <w:r w:rsidRPr="000F2A5F">
        <w:rPr>
          <w:rFonts w:ascii="Times New Roman" w:hAnsi="Times New Roman" w:cs="Times New Roman"/>
          <w:sz w:val="28"/>
          <w:szCs w:val="28"/>
        </w:rPr>
        <w:t xml:space="preserve"> p. 1011-1028.</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CAILLERE S., HENIN S., RAUTUREAU M., 1982</w:t>
      </w:r>
      <w:r w:rsidRPr="000F2A5F">
        <w:rPr>
          <w:rFonts w:ascii="Times New Roman" w:hAnsi="Times New Roman" w:cs="Times New Roman"/>
          <w:sz w:val="28"/>
          <w:szCs w:val="28"/>
        </w:rPr>
        <w:t xml:space="preserve"> – Minéralogie des argiles. 1. Structures et propriétés physico-chimiques. INRA, Actualités scient. et </w:t>
      </w:r>
      <w:proofErr w:type="spellStart"/>
      <w:proofErr w:type="gramStart"/>
      <w:r w:rsidRPr="000F2A5F">
        <w:rPr>
          <w:rFonts w:ascii="Times New Roman" w:hAnsi="Times New Roman" w:cs="Times New Roman"/>
          <w:sz w:val="28"/>
          <w:szCs w:val="28"/>
        </w:rPr>
        <w:t>agronom</w:t>
      </w:r>
      <w:proofErr w:type="spellEnd"/>
      <w:r w:rsidRPr="000F2A5F">
        <w:rPr>
          <w:rFonts w:ascii="Times New Roman" w:hAnsi="Times New Roman" w:cs="Times New Roman"/>
          <w:sz w:val="28"/>
          <w:szCs w:val="28"/>
        </w:rPr>
        <w:t>.,</w:t>
      </w:r>
      <w:proofErr w:type="gramEnd"/>
      <w:r w:rsidRPr="000F2A5F">
        <w:rPr>
          <w:rFonts w:ascii="Times New Roman" w:hAnsi="Times New Roman" w:cs="Times New Roman"/>
          <w:sz w:val="28"/>
          <w:szCs w:val="28"/>
        </w:rPr>
        <w:t xml:space="preserve"> 8, Masson éd., 2e éd., 189 p.</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CAILLEUX A., TAYLOR G., 1954</w:t>
      </w:r>
      <w:r w:rsidRPr="000F2A5F">
        <w:rPr>
          <w:rFonts w:ascii="Times New Roman" w:hAnsi="Times New Roman" w:cs="Times New Roman"/>
          <w:sz w:val="28"/>
          <w:szCs w:val="28"/>
        </w:rPr>
        <w:t xml:space="preserve"> – Code des couleurs. </w:t>
      </w:r>
      <w:proofErr w:type="spellStart"/>
      <w:r w:rsidRPr="000F2A5F">
        <w:rPr>
          <w:rFonts w:ascii="Times New Roman" w:hAnsi="Times New Roman" w:cs="Times New Roman"/>
          <w:sz w:val="28"/>
          <w:szCs w:val="28"/>
        </w:rPr>
        <w:t>Boubée</w:t>
      </w:r>
      <w:proofErr w:type="spellEnd"/>
      <w:r w:rsidRPr="000F2A5F">
        <w:rPr>
          <w:rFonts w:ascii="Times New Roman" w:hAnsi="Times New Roman" w:cs="Times New Roman"/>
          <w:sz w:val="28"/>
          <w:szCs w:val="28"/>
        </w:rPr>
        <w:t>. Paris.</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CAILLEUX A., TRICART J., 1959</w:t>
      </w:r>
      <w:r w:rsidRPr="000F2A5F">
        <w:rPr>
          <w:rFonts w:ascii="Times New Roman" w:hAnsi="Times New Roman" w:cs="Times New Roman"/>
          <w:sz w:val="28"/>
          <w:szCs w:val="28"/>
        </w:rPr>
        <w:t xml:space="preserve"> – Initiation à l’étude des sables et des galets. Paris,  SEDES </w:t>
      </w:r>
      <w:proofErr w:type="spellStart"/>
      <w:proofErr w:type="gramStart"/>
      <w:r w:rsidRPr="000F2A5F">
        <w:rPr>
          <w:rFonts w:ascii="Times New Roman" w:hAnsi="Times New Roman" w:cs="Times New Roman"/>
          <w:sz w:val="28"/>
          <w:szCs w:val="28"/>
        </w:rPr>
        <w:t>impr</w:t>
      </w:r>
      <w:proofErr w:type="spellEnd"/>
      <w:r w:rsidRPr="000F2A5F">
        <w:rPr>
          <w:rFonts w:ascii="Times New Roman" w:hAnsi="Times New Roman" w:cs="Times New Roman"/>
          <w:sz w:val="28"/>
          <w:szCs w:val="28"/>
        </w:rPr>
        <w:t>.,</w:t>
      </w:r>
      <w:proofErr w:type="gramEnd"/>
      <w:r w:rsidRPr="000F2A5F">
        <w:rPr>
          <w:rFonts w:ascii="Times New Roman" w:hAnsi="Times New Roman" w:cs="Times New Roman"/>
          <w:sz w:val="28"/>
          <w:szCs w:val="28"/>
        </w:rPr>
        <w:t xml:space="preserve"> tome 1, 376 p.</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lastRenderedPageBreak/>
        <w:t>CAMMAS C. and WATTEZ J., 1999</w:t>
      </w:r>
      <w:r w:rsidRPr="000F2A5F">
        <w:rPr>
          <w:rFonts w:ascii="Times New Roman" w:hAnsi="Times New Roman" w:cs="Times New Roman"/>
          <w:sz w:val="28"/>
          <w:szCs w:val="28"/>
        </w:rPr>
        <w:t xml:space="preserve"> – L’approche </w:t>
      </w:r>
      <w:proofErr w:type="spellStart"/>
      <w:r w:rsidRPr="000F2A5F">
        <w:rPr>
          <w:rFonts w:ascii="Times New Roman" w:hAnsi="Times New Roman" w:cs="Times New Roman"/>
          <w:sz w:val="28"/>
          <w:szCs w:val="28"/>
        </w:rPr>
        <w:t>micromorphologique</w:t>
      </w:r>
      <w:proofErr w:type="spellEnd"/>
      <w:r w:rsidRPr="000F2A5F">
        <w:rPr>
          <w:rFonts w:ascii="Times New Roman" w:hAnsi="Times New Roman" w:cs="Times New Roman"/>
          <w:sz w:val="28"/>
          <w:szCs w:val="28"/>
        </w:rPr>
        <w:t xml:space="preserve"> : méthode et applications aux stratigraphies archéologiques. In </w:t>
      </w:r>
      <w:r w:rsidRPr="000F2A5F">
        <w:rPr>
          <w:rFonts w:ascii="Times New Roman" w:hAnsi="Times New Roman" w:cs="Times New Roman"/>
          <w:i/>
          <w:sz w:val="28"/>
          <w:szCs w:val="28"/>
        </w:rPr>
        <w:t xml:space="preserve">La Géologie. Les Sciences de la Terre. </w:t>
      </w:r>
      <w:r w:rsidRPr="000F2A5F">
        <w:rPr>
          <w:rFonts w:ascii="Times New Roman" w:hAnsi="Times New Roman" w:cs="Times New Roman"/>
          <w:sz w:val="28"/>
          <w:szCs w:val="28"/>
        </w:rPr>
        <w:t xml:space="preserve">Collection « Archéologiques » dirigée par A. </w:t>
      </w:r>
      <w:proofErr w:type="spellStart"/>
      <w:r w:rsidRPr="000F2A5F">
        <w:rPr>
          <w:rFonts w:ascii="Times New Roman" w:hAnsi="Times New Roman" w:cs="Times New Roman"/>
          <w:sz w:val="28"/>
          <w:szCs w:val="28"/>
        </w:rPr>
        <w:t>Ferdière</w:t>
      </w:r>
      <w:proofErr w:type="spellEnd"/>
      <w:r w:rsidRPr="000F2A5F">
        <w:rPr>
          <w:rFonts w:ascii="Times New Roman" w:hAnsi="Times New Roman" w:cs="Times New Roman"/>
          <w:sz w:val="28"/>
          <w:szCs w:val="28"/>
        </w:rPr>
        <w:t>, éditions errance : pp. 139-153.</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lang w:val="en-US"/>
        </w:rPr>
      </w:pPr>
      <w:r w:rsidRPr="000F2A5F">
        <w:rPr>
          <w:rFonts w:ascii="Times New Roman" w:hAnsi="Times New Roman" w:cs="Times New Roman"/>
          <w:b/>
          <w:bCs/>
          <w:sz w:val="28"/>
          <w:szCs w:val="28"/>
          <w:lang w:val="en-US"/>
        </w:rPr>
        <w:t>MACPHAIL, R. I., 1997</w:t>
      </w:r>
      <w:r w:rsidRPr="000F2A5F">
        <w:rPr>
          <w:rFonts w:ascii="Times New Roman" w:hAnsi="Times New Roman" w:cs="Times New Roman"/>
          <w:sz w:val="28"/>
          <w:szCs w:val="28"/>
          <w:lang w:val="en-US"/>
        </w:rPr>
        <w:t xml:space="preserve"> – Soil </w:t>
      </w:r>
      <w:proofErr w:type="spellStart"/>
      <w:r w:rsidRPr="000F2A5F">
        <w:rPr>
          <w:rFonts w:ascii="Times New Roman" w:hAnsi="Times New Roman" w:cs="Times New Roman"/>
          <w:sz w:val="28"/>
          <w:szCs w:val="28"/>
          <w:lang w:val="en-US"/>
        </w:rPr>
        <w:t>micromorphology</w:t>
      </w:r>
      <w:proofErr w:type="spellEnd"/>
      <w:r w:rsidRPr="000F2A5F">
        <w:rPr>
          <w:rFonts w:ascii="Times New Roman" w:hAnsi="Times New Roman" w:cs="Times New Roman"/>
          <w:sz w:val="28"/>
          <w:szCs w:val="28"/>
          <w:lang w:val="en-US"/>
        </w:rPr>
        <w:t xml:space="preserve">, in M. B. Roberts et al. </w:t>
      </w:r>
      <w:proofErr w:type="spellStart"/>
      <w:r w:rsidRPr="000F2A5F">
        <w:rPr>
          <w:rFonts w:ascii="Times New Roman" w:hAnsi="Times New Roman" w:cs="Times New Roman"/>
          <w:sz w:val="28"/>
          <w:szCs w:val="28"/>
          <w:lang w:val="en-US"/>
        </w:rPr>
        <w:t>Boxgrove</w:t>
      </w:r>
      <w:proofErr w:type="spellEnd"/>
      <w:r w:rsidRPr="000F2A5F">
        <w:rPr>
          <w:rFonts w:ascii="Times New Roman" w:hAnsi="Times New Roman" w:cs="Times New Roman"/>
          <w:sz w:val="28"/>
          <w:szCs w:val="28"/>
          <w:lang w:val="en-US"/>
        </w:rPr>
        <w:t xml:space="preserve">, West </w:t>
      </w:r>
      <w:proofErr w:type="gramStart"/>
      <w:r w:rsidRPr="000F2A5F">
        <w:rPr>
          <w:rFonts w:ascii="Times New Roman" w:hAnsi="Times New Roman" w:cs="Times New Roman"/>
          <w:sz w:val="28"/>
          <w:szCs w:val="28"/>
          <w:lang w:val="en-US"/>
        </w:rPr>
        <w:t>Sussex :</w:t>
      </w:r>
      <w:proofErr w:type="gramEnd"/>
      <w:r w:rsidRPr="000F2A5F">
        <w:rPr>
          <w:rFonts w:ascii="Times New Roman" w:hAnsi="Times New Roman" w:cs="Times New Roman"/>
          <w:sz w:val="28"/>
          <w:szCs w:val="28"/>
          <w:lang w:val="en-US"/>
        </w:rPr>
        <w:t xml:space="preserve"> rescue excavations of a Lower Paleolithic </w:t>
      </w:r>
      <w:proofErr w:type="spellStart"/>
      <w:r w:rsidRPr="000F2A5F">
        <w:rPr>
          <w:rFonts w:ascii="Times New Roman" w:hAnsi="Times New Roman" w:cs="Times New Roman"/>
          <w:sz w:val="28"/>
          <w:szCs w:val="28"/>
          <w:lang w:val="en-US"/>
        </w:rPr>
        <w:t>landsurface</w:t>
      </w:r>
      <w:proofErr w:type="spellEnd"/>
      <w:r w:rsidRPr="000F2A5F">
        <w:rPr>
          <w:rFonts w:ascii="Times New Roman" w:hAnsi="Times New Roman" w:cs="Times New Roman"/>
          <w:sz w:val="28"/>
          <w:szCs w:val="28"/>
          <w:lang w:val="en-US"/>
        </w:rPr>
        <w:t xml:space="preserve"> (</w:t>
      </w:r>
      <w:proofErr w:type="spellStart"/>
      <w:r w:rsidRPr="000F2A5F">
        <w:rPr>
          <w:rFonts w:ascii="Times New Roman" w:hAnsi="Times New Roman" w:cs="Times New Roman"/>
          <w:sz w:val="28"/>
          <w:szCs w:val="28"/>
          <w:lang w:val="en-US"/>
        </w:rPr>
        <w:t>Boxgrove</w:t>
      </w:r>
      <w:proofErr w:type="spellEnd"/>
      <w:r w:rsidRPr="000F2A5F">
        <w:rPr>
          <w:rFonts w:ascii="Times New Roman" w:hAnsi="Times New Roman" w:cs="Times New Roman"/>
          <w:sz w:val="28"/>
          <w:szCs w:val="28"/>
          <w:lang w:val="en-US"/>
        </w:rPr>
        <w:t xml:space="preserve"> Project B, 1989-91), </w:t>
      </w:r>
      <w:r w:rsidRPr="000F2A5F">
        <w:rPr>
          <w:rFonts w:ascii="Times New Roman" w:hAnsi="Times New Roman" w:cs="Times New Roman"/>
          <w:i/>
          <w:sz w:val="28"/>
          <w:szCs w:val="28"/>
          <w:lang w:val="en-US"/>
        </w:rPr>
        <w:t>Proceedings of the Prehistoric Society</w:t>
      </w:r>
      <w:r w:rsidRPr="000F2A5F">
        <w:rPr>
          <w:rFonts w:ascii="Times New Roman" w:hAnsi="Times New Roman" w:cs="Times New Roman"/>
          <w:sz w:val="28"/>
          <w:szCs w:val="28"/>
          <w:lang w:val="en-US"/>
        </w:rPr>
        <w:t xml:space="preserve"> 63, 303-358.</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lang w:val="en-US"/>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 xml:space="preserve">TOURENQ J., 1985 </w:t>
      </w:r>
      <w:r w:rsidRPr="000F2A5F">
        <w:rPr>
          <w:rFonts w:ascii="Times New Roman" w:hAnsi="Times New Roman" w:cs="Times New Roman"/>
          <w:sz w:val="28"/>
          <w:szCs w:val="28"/>
        </w:rPr>
        <w:t>– In La momie de Ramsès II. Contribution scientifique à l’Egyptologie. Chap. 6 : Les minéraux de la momie. Ed. Recherche sur les Civilisations, p. 202-209.</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lang w:val="en-US"/>
        </w:rPr>
      </w:pPr>
      <w:r w:rsidRPr="000F2A5F">
        <w:rPr>
          <w:rFonts w:ascii="Times New Roman" w:hAnsi="Times New Roman" w:cs="Times New Roman"/>
          <w:b/>
          <w:bCs/>
          <w:sz w:val="28"/>
          <w:szCs w:val="28"/>
        </w:rPr>
        <w:t>TOURENQ J., AMBROISE D., BLOT G. et TURLAND M., 1978</w:t>
      </w:r>
      <w:r w:rsidRPr="000F2A5F">
        <w:rPr>
          <w:rFonts w:ascii="Times New Roman" w:hAnsi="Times New Roman" w:cs="Times New Roman"/>
          <w:sz w:val="28"/>
          <w:szCs w:val="28"/>
        </w:rPr>
        <w:t xml:space="preserve"> – Etude des minéraux lourds des alluvions actuelles et anciennes des bassins de l’Yonne, du Loing et de la Seine en amont de Paris. Utilisation de l’analyse factorielle des correspondances. Résultats paléogéographiques. </w:t>
      </w:r>
      <w:r w:rsidRPr="000F2A5F">
        <w:rPr>
          <w:rFonts w:ascii="Times New Roman" w:hAnsi="Times New Roman" w:cs="Times New Roman"/>
          <w:i/>
          <w:sz w:val="28"/>
          <w:szCs w:val="28"/>
        </w:rPr>
        <w:t xml:space="preserve">Bull. Inf. Géol. </w:t>
      </w:r>
      <w:r w:rsidRPr="000F2A5F">
        <w:rPr>
          <w:rFonts w:ascii="Times New Roman" w:hAnsi="Times New Roman" w:cs="Times New Roman"/>
          <w:i/>
          <w:sz w:val="28"/>
          <w:szCs w:val="28"/>
          <w:lang w:val="en-US"/>
        </w:rPr>
        <w:t>Bass. Paris,</w:t>
      </w:r>
      <w:r w:rsidRPr="000F2A5F">
        <w:rPr>
          <w:rFonts w:ascii="Times New Roman" w:hAnsi="Times New Roman" w:cs="Times New Roman"/>
          <w:sz w:val="28"/>
          <w:szCs w:val="28"/>
          <w:lang w:val="en-US"/>
        </w:rPr>
        <w:t xml:space="preserve"> vol. 15, n° 4, p. 25-33.</w:t>
      </w: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VERGER F., 1963 –</w:t>
      </w:r>
      <w:r w:rsidRPr="000F2A5F">
        <w:rPr>
          <w:rFonts w:ascii="Times New Roman" w:hAnsi="Times New Roman" w:cs="Times New Roman"/>
          <w:sz w:val="28"/>
          <w:szCs w:val="28"/>
        </w:rPr>
        <w:t xml:space="preserve"> Les techniques d’analyse granulométrique. Mémoires et documents, tome IX, fasc. 1, CNRS, 64 p.</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rPr>
          <w:rFonts w:ascii="Times New Roman" w:hAnsi="Times New Roman" w:cs="Times New Roman"/>
          <w:b/>
          <w:sz w:val="28"/>
          <w:szCs w:val="28"/>
        </w:rPr>
      </w:pPr>
      <w:r w:rsidRPr="000F2A5F">
        <w:rPr>
          <w:rFonts w:ascii="Times New Roman" w:hAnsi="Times New Roman" w:cs="Times New Roman"/>
          <w:b/>
          <w:sz w:val="28"/>
          <w:szCs w:val="28"/>
        </w:rPr>
        <w:t>Etude du contenu du sédiment</w:t>
      </w:r>
    </w:p>
    <w:p w:rsidR="008A44FD" w:rsidRPr="000F2A5F" w:rsidRDefault="008A44FD" w:rsidP="00A92407">
      <w:pPr>
        <w:autoSpaceDE w:val="0"/>
        <w:autoSpaceDN w:val="0"/>
        <w:adjustRightInd w:val="0"/>
        <w:spacing w:before="120" w:after="0"/>
        <w:rPr>
          <w:rFonts w:ascii="Times New Roman" w:hAnsi="Times New Roman" w:cs="Times New Roman"/>
          <w:b/>
          <w:sz w:val="28"/>
          <w:szCs w:val="28"/>
        </w:rPr>
      </w:pPr>
      <w:proofErr w:type="spellStart"/>
      <w:r w:rsidRPr="000F2A5F">
        <w:rPr>
          <w:rFonts w:ascii="Times New Roman" w:hAnsi="Times New Roman" w:cs="Times New Roman"/>
          <w:b/>
          <w:sz w:val="28"/>
          <w:szCs w:val="28"/>
        </w:rPr>
        <w:t>Archéopalynologie</w:t>
      </w:r>
      <w:proofErr w:type="spellEnd"/>
    </w:p>
    <w:p w:rsidR="000F2A5F" w:rsidRPr="000F2A5F" w:rsidRDefault="000F2A5F" w:rsidP="00A92407">
      <w:pPr>
        <w:autoSpaceDE w:val="0"/>
        <w:autoSpaceDN w:val="0"/>
        <w:adjustRightInd w:val="0"/>
        <w:spacing w:before="120" w:after="0"/>
        <w:rPr>
          <w:rFonts w:ascii="Times New Roman" w:hAnsi="Times New Roman" w:cs="Times New Roman"/>
          <w:b/>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BALLOUCHE, A., REILLE, M., THINON, M., BARAKAT, H. N., FONTUGNE, M., 1995</w:t>
      </w:r>
      <w:r w:rsidRPr="000F2A5F">
        <w:rPr>
          <w:rFonts w:ascii="Times New Roman" w:hAnsi="Times New Roman" w:cs="Times New Roman"/>
          <w:sz w:val="28"/>
          <w:szCs w:val="28"/>
        </w:rPr>
        <w:t xml:space="preserve"> – La végétation holocène des montagnes du Sahara central : une nouvelle conception. 2e </w:t>
      </w:r>
      <w:proofErr w:type="spellStart"/>
      <w:r w:rsidRPr="000F2A5F">
        <w:rPr>
          <w:rFonts w:ascii="Times New Roman" w:hAnsi="Times New Roman" w:cs="Times New Roman"/>
          <w:sz w:val="28"/>
          <w:szCs w:val="28"/>
        </w:rPr>
        <w:t>Symp</w:t>
      </w:r>
      <w:proofErr w:type="spellEnd"/>
      <w:r w:rsidRPr="000F2A5F">
        <w:rPr>
          <w:rFonts w:ascii="Times New Roman" w:hAnsi="Times New Roman" w:cs="Times New Roman"/>
          <w:sz w:val="28"/>
          <w:szCs w:val="28"/>
        </w:rPr>
        <w:t>. Palynologie africaine. Tervuren. CIFEG n° 31. p. 9-17.</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DELCOURT, A., MULLENDERS, W., PIERART, P., 1959</w:t>
      </w:r>
      <w:r w:rsidRPr="000F2A5F">
        <w:rPr>
          <w:rFonts w:ascii="Times New Roman" w:hAnsi="Times New Roman" w:cs="Times New Roman"/>
          <w:sz w:val="28"/>
          <w:szCs w:val="28"/>
        </w:rPr>
        <w:t xml:space="preserve"> – La préparation des spores et des grains de pollens actuels et fossiles. Les Naturalistes belges, t 40, p. 90-120.</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PAQUEREAU, M.M., 1978</w:t>
      </w:r>
      <w:r w:rsidRPr="000F2A5F">
        <w:rPr>
          <w:rFonts w:ascii="Times New Roman" w:hAnsi="Times New Roman" w:cs="Times New Roman"/>
          <w:sz w:val="28"/>
          <w:szCs w:val="28"/>
        </w:rPr>
        <w:t xml:space="preserve"> – Flores et climats du </w:t>
      </w:r>
      <w:proofErr w:type="spellStart"/>
      <w:r w:rsidRPr="000F2A5F">
        <w:rPr>
          <w:rFonts w:ascii="Times New Roman" w:hAnsi="Times New Roman" w:cs="Times New Roman"/>
          <w:sz w:val="28"/>
          <w:szCs w:val="28"/>
        </w:rPr>
        <w:t>Wùrm</w:t>
      </w:r>
      <w:proofErr w:type="spellEnd"/>
      <w:r w:rsidRPr="000F2A5F">
        <w:rPr>
          <w:rFonts w:ascii="Times New Roman" w:hAnsi="Times New Roman" w:cs="Times New Roman"/>
          <w:sz w:val="28"/>
          <w:szCs w:val="28"/>
        </w:rPr>
        <w:t xml:space="preserve"> III dans le </w:t>
      </w:r>
      <w:proofErr w:type="spellStart"/>
      <w:r w:rsidRPr="000F2A5F">
        <w:rPr>
          <w:rFonts w:ascii="Times New Roman" w:hAnsi="Times New Roman" w:cs="Times New Roman"/>
          <w:sz w:val="28"/>
          <w:szCs w:val="28"/>
        </w:rPr>
        <w:t>Sud-Ouest</w:t>
      </w:r>
      <w:proofErr w:type="spellEnd"/>
      <w:r w:rsidRPr="000F2A5F">
        <w:rPr>
          <w:rFonts w:ascii="Times New Roman" w:hAnsi="Times New Roman" w:cs="Times New Roman"/>
          <w:sz w:val="28"/>
          <w:szCs w:val="28"/>
        </w:rPr>
        <w:t xml:space="preserve"> de la France. </w:t>
      </w:r>
      <w:proofErr w:type="spellStart"/>
      <w:r w:rsidRPr="000F2A5F">
        <w:rPr>
          <w:rFonts w:ascii="Times New Roman" w:hAnsi="Times New Roman" w:cs="Times New Roman"/>
          <w:i/>
          <w:sz w:val="28"/>
          <w:szCs w:val="28"/>
        </w:rPr>
        <w:t>Quaternaria</w:t>
      </w:r>
      <w:proofErr w:type="spellEnd"/>
      <w:r w:rsidRPr="000F2A5F">
        <w:rPr>
          <w:rFonts w:ascii="Times New Roman" w:hAnsi="Times New Roman" w:cs="Times New Roman"/>
          <w:sz w:val="28"/>
          <w:szCs w:val="28"/>
        </w:rPr>
        <w:t>, t XX, Roma, p. 123-164.</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PONS, A., 1970</w:t>
      </w:r>
      <w:r w:rsidRPr="000F2A5F">
        <w:rPr>
          <w:rFonts w:ascii="Times New Roman" w:hAnsi="Times New Roman" w:cs="Times New Roman"/>
          <w:sz w:val="28"/>
          <w:szCs w:val="28"/>
        </w:rPr>
        <w:t xml:space="preserve"> – Le Pollen. Coll. Que-sais-je ? </w:t>
      </w:r>
      <w:proofErr w:type="gramStart"/>
      <w:r w:rsidRPr="000F2A5F">
        <w:rPr>
          <w:rFonts w:ascii="Times New Roman" w:hAnsi="Times New Roman" w:cs="Times New Roman"/>
          <w:sz w:val="28"/>
          <w:szCs w:val="28"/>
        </w:rPr>
        <w:t>n</w:t>
      </w:r>
      <w:proofErr w:type="gramEnd"/>
      <w:r w:rsidRPr="000F2A5F">
        <w:rPr>
          <w:rFonts w:ascii="Times New Roman" w:hAnsi="Times New Roman" w:cs="Times New Roman"/>
          <w:sz w:val="28"/>
          <w:szCs w:val="28"/>
        </w:rPr>
        <w:t>° 783, PUF, Paris, 128 p.</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BADAL-GARCIA E., 1992</w:t>
      </w:r>
      <w:r w:rsidRPr="000F2A5F">
        <w:rPr>
          <w:rFonts w:ascii="Times New Roman" w:hAnsi="Times New Roman" w:cs="Times New Roman"/>
          <w:sz w:val="28"/>
          <w:szCs w:val="28"/>
        </w:rPr>
        <w:t xml:space="preserve"> – L’anthracologie préhistorique : à propos de certains problèmes méthodologiques. </w:t>
      </w:r>
      <w:r w:rsidRPr="000F2A5F">
        <w:rPr>
          <w:rFonts w:ascii="Times New Roman" w:hAnsi="Times New Roman" w:cs="Times New Roman"/>
          <w:i/>
          <w:sz w:val="28"/>
          <w:szCs w:val="28"/>
        </w:rPr>
        <w:t xml:space="preserve">Bull. Soc. </w:t>
      </w:r>
      <w:proofErr w:type="gramStart"/>
      <w:r w:rsidRPr="000F2A5F">
        <w:rPr>
          <w:rFonts w:ascii="Times New Roman" w:hAnsi="Times New Roman" w:cs="Times New Roman"/>
          <w:i/>
          <w:sz w:val="28"/>
          <w:szCs w:val="28"/>
        </w:rPr>
        <w:t>bot</w:t>
      </w:r>
      <w:proofErr w:type="gramEnd"/>
      <w:r w:rsidRPr="000F2A5F">
        <w:rPr>
          <w:rFonts w:ascii="Times New Roman" w:hAnsi="Times New Roman" w:cs="Times New Roman"/>
          <w:i/>
          <w:sz w:val="28"/>
          <w:szCs w:val="28"/>
        </w:rPr>
        <w:t>. Fr</w:t>
      </w:r>
      <w:r w:rsidRPr="000F2A5F">
        <w:rPr>
          <w:rFonts w:ascii="Times New Roman" w:hAnsi="Times New Roman" w:cs="Times New Roman"/>
          <w:sz w:val="28"/>
          <w:szCs w:val="28"/>
        </w:rPr>
        <w:t xml:space="preserve">., 139, </w:t>
      </w:r>
      <w:proofErr w:type="spellStart"/>
      <w:r w:rsidRPr="000F2A5F">
        <w:rPr>
          <w:rFonts w:ascii="Times New Roman" w:hAnsi="Times New Roman" w:cs="Times New Roman"/>
          <w:sz w:val="28"/>
          <w:szCs w:val="28"/>
        </w:rPr>
        <w:t>Actual</w:t>
      </w:r>
      <w:proofErr w:type="spellEnd"/>
      <w:r w:rsidRPr="000F2A5F">
        <w:rPr>
          <w:rFonts w:ascii="Times New Roman" w:hAnsi="Times New Roman" w:cs="Times New Roman"/>
          <w:sz w:val="28"/>
          <w:szCs w:val="28"/>
        </w:rPr>
        <w:t xml:space="preserve">. </w:t>
      </w:r>
      <w:proofErr w:type="gramStart"/>
      <w:r w:rsidRPr="000F2A5F">
        <w:rPr>
          <w:rFonts w:ascii="Times New Roman" w:hAnsi="Times New Roman" w:cs="Times New Roman"/>
          <w:sz w:val="28"/>
          <w:szCs w:val="28"/>
        </w:rPr>
        <w:t>bot</w:t>
      </w:r>
      <w:proofErr w:type="gramEnd"/>
      <w:r w:rsidRPr="000F2A5F">
        <w:rPr>
          <w:rFonts w:ascii="Times New Roman" w:hAnsi="Times New Roman" w:cs="Times New Roman"/>
          <w:sz w:val="28"/>
          <w:szCs w:val="28"/>
        </w:rPr>
        <w:t>. (2/3/4), 167-189.</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BADAL-GARCIA E. et HEINZ C. 1991</w:t>
      </w:r>
      <w:r w:rsidRPr="000F2A5F">
        <w:rPr>
          <w:rFonts w:ascii="Times New Roman" w:hAnsi="Times New Roman" w:cs="Times New Roman"/>
          <w:sz w:val="28"/>
          <w:szCs w:val="28"/>
        </w:rPr>
        <w:t xml:space="preserve"> – Méthodes utilisées en anthracologie pour l’étude de sites préhistoriques. </w:t>
      </w:r>
      <w:proofErr w:type="gramStart"/>
      <w:r w:rsidRPr="000F2A5F">
        <w:rPr>
          <w:rFonts w:ascii="Times New Roman" w:hAnsi="Times New Roman" w:cs="Times New Roman"/>
          <w:i/>
          <w:sz w:val="28"/>
          <w:szCs w:val="28"/>
          <w:lang w:val="en-US"/>
        </w:rPr>
        <w:t xml:space="preserve">II </w:t>
      </w:r>
      <w:proofErr w:type="spellStart"/>
      <w:r w:rsidRPr="000F2A5F">
        <w:rPr>
          <w:rFonts w:ascii="Times New Roman" w:hAnsi="Times New Roman" w:cs="Times New Roman"/>
          <w:i/>
          <w:sz w:val="28"/>
          <w:szCs w:val="28"/>
          <w:lang w:val="en-US"/>
        </w:rPr>
        <w:t>nd</w:t>
      </w:r>
      <w:proofErr w:type="spellEnd"/>
      <w:r w:rsidRPr="000F2A5F">
        <w:rPr>
          <w:rFonts w:ascii="Times New Roman" w:hAnsi="Times New Roman" w:cs="Times New Roman"/>
          <w:i/>
          <w:sz w:val="28"/>
          <w:szCs w:val="28"/>
          <w:lang w:val="en-US"/>
        </w:rPr>
        <w:t xml:space="preserve"> </w:t>
      </w:r>
      <w:proofErr w:type="spellStart"/>
      <w:r w:rsidRPr="000F2A5F">
        <w:rPr>
          <w:rFonts w:ascii="Times New Roman" w:hAnsi="Times New Roman" w:cs="Times New Roman"/>
          <w:i/>
          <w:sz w:val="28"/>
          <w:szCs w:val="28"/>
          <w:lang w:val="en-US"/>
        </w:rPr>
        <w:t>Deya</w:t>
      </w:r>
      <w:proofErr w:type="spellEnd"/>
      <w:r w:rsidRPr="000F2A5F">
        <w:rPr>
          <w:rFonts w:ascii="Times New Roman" w:hAnsi="Times New Roman" w:cs="Times New Roman"/>
          <w:i/>
          <w:sz w:val="28"/>
          <w:szCs w:val="28"/>
          <w:lang w:val="en-US"/>
        </w:rPr>
        <w:t xml:space="preserve"> conference of Prehistory, Archaeological Techniques, Technology and Theory.</w:t>
      </w:r>
      <w:proofErr w:type="gramEnd"/>
      <w:r w:rsidRPr="000F2A5F">
        <w:rPr>
          <w:rFonts w:ascii="Times New Roman" w:hAnsi="Times New Roman" w:cs="Times New Roman"/>
          <w:i/>
          <w:sz w:val="28"/>
          <w:szCs w:val="28"/>
          <w:lang w:val="en-US"/>
        </w:rPr>
        <w:t xml:space="preserve"> </w:t>
      </w:r>
      <w:proofErr w:type="spellStart"/>
      <w:r w:rsidRPr="000F2A5F">
        <w:rPr>
          <w:rFonts w:ascii="Times New Roman" w:hAnsi="Times New Roman" w:cs="Times New Roman"/>
          <w:i/>
          <w:sz w:val="28"/>
          <w:szCs w:val="28"/>
        </w:rPr>
        <w:t>Deya</w:t>
      </w:r>
      <w:proofErr w:type="spellEnd"/>
      <w:r w:rsidRPr="000F2A5F">
        <w:rPr>
          <w:rFonts w:ascii="Times New Roman" w:hAnsi="Times New Roman" w:cs="Times New Roman"/>
          <w:i/>
          <w:sz w:val="28"/>
          <w:szCs w:val="28"/>
        </w:rPr>
        <w:t>,</w:t>
      </w:r>
      <w:r w:rsidRPr="000F2A5F">
        <w:rPr>
          <w:rFonts w:ascii="Times New Roman" w:hAnsi="Times New Roman" w:cs="Times New Roman"/>
          <w:sz w:val="28"/>
          <w:szCs w:val="28"/>
        </w:rPr>
        <w:t xml:space="preserve"> BAR International </w:t>
      </w:r>
      <w:proofErr w:type="spellStart"/>
      <w:proofErr w:type="gramStart"/>
      <w:r w:rsidRPr="000F2A5F">
        <w:rPr>
          <w:rFonts w:ascii="Times New Roman" w:hAnsi="Times New Roman" w:cs="Times New Roman"/>
          <w:sz w:val="28"/>
          <w:szCs w:val="28"/>
        </w:rPr>
        <w:t>series</w:t>
      </w:r>
      <w:proofErr w:type="spellEnd"/>
      <w:r w:rsidRPr="000F2A5F">
        <w:rPr>
          <w:rFonts w:ascii="Times New Roman" w:hAnsi="Times New Roman" w:cs="Times New Roman"/>
          <w:sz w:val="28"/>
          <w:szCs w:val="28"/>
        </w:rPr>
        <w:t xml:space="preserve"> ,</w:t>
      </w:r>
      <w:proofErr w:type="gramEnd"/>
      <w:r w:rsidRPr="000F2A5F">
        <w:rPr>
          <w:rFonts w:ascii="Times New Roman" w:hAnsi="Times New Roman" w:cs="Times New Roman"/>
          <w:sz w:val="28"/>
          <w:szCs w:val="28"/>
        </w:rPr>
        <w:t xml:space="preserve"> 573, Oxford, 17-40.</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CHABAL L., 1988</w:t>
      </w:r>
      <w:r w:rsidRPr="000F2A5F">
        <w:rPr>
          <w:rFonts w:ascii="Times New Roman" w:hAnsi="Times New Roman" w:cs="Times New Roman"/>
          <w:sz w:val="28"/>
          <w:szCs w:val="28"/>
        </w:rPr>
        <w:t xml:space="preserve"> – Pourquoi et comment prélever les charbons de bois à la période antique : les méthodes utilisées sur le site de Lattes (Hérault).</w:t>
      </w:r>
      <w:r w:rsidRPr="000F2A5F">
        <w:rPr>
          <w:rFonts w:ascii="Times New Roman" w:hAnsi="Times New Roman" w:cs="Times New Roman"/>
          <w:i/>
          <w:sz w:val="28"/>
          <w:szCs w:val="28"/>
        </w:rPr>
        <w:t xml:space="preserve"> </w:t>
      </w:r>
      <w:proofErr w:type="spellStart"/>
      <w:r w:rsidRPr="000F2A5F">
        <w:rPr>
          <w:rFonts w:ascii="Times New Roman" w:hAnsi="Times New Roman" w:cs="Times New Roman"/>
          <w:i/>
          <w:sz w:val="28"/>
          <w:szCs w:val="28"/>
        </w:rPr>
        <w:t>Lattara</w:t>
      </w:r>
      <w:proofErr w:type="spellEnd"/>
      <w:r w:rsidRPr="000F2A5F">
        <w:rPr>
          <w:rFonts w:ascii="Times New Roman" w:hAnsi="Times New Roman" w:cs="Times New Roman"/>
          <w:sz w:val="28"/>
          <w:szCs w:val="28"/>
        </w:rPr>
        <w:t>, 1, 187-222.</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CHABAL L., 1990</w:t>
      </w:r>
      <w:r w:rsidRPr="000F2A5F">
        <w:rPr>
          <w:rFonts w:ascii="Times New Roman" w:hAnsi="Times New Roman" w:cs="Times New Roman"/>
          <w:sz w:val="28"/>
          <w:szCs w:val="28"/>
        </w:rPr>
        <w:t xml:space="preserve"> – L’étude </w:t>
      </w:r>
      <w:proofErr w:type="spellStart"/>
      <w:r w:rsidRPr="000F2A5F">
        <w:rPr>
          <w:rFonts w:ascii="Times New Roman" w:hAnsi="Times New Roman" w:cs="Times New Roman"/>
          <w:sz w:val="28"/>
          <w:szCs w:val="28"/>
        </w:rPr>
        <w:t>paléoécologique</w:t>
      </w:r>
      <w:proofErr w:type="spellEnd"/>
      <w:r w:rsidRPr="000F2A5F">
        <w:rPr>
          <w:rFonts w:ascii="Times New Roman" w:hAnsi="Times New Roman" w:cs="Times New Roman"/>
          <w:sz w:val="28"/>
          <w:szCs w:val="28"/>
        </w:rPr>
        <w:t xml:space="preserve"> de sites protohistoriques à partir des charbons de bois : la question de l’unité de mesure. Dénombrement de fragments ou pesée ?</w:t>
      </w:r>
      <w:r w:rsidRPr="000F2A5F">
        <w:rPr>
          <w:rFonts w:ascii="Times New Roman" w:hAnsi="Times New Roman" w:cs="Times New Roman"/>
          <w:i/>
          <w:sz w:val="28"/>
          <w:szCs w:val="28"/>
        </w:rPr>
        <w:t xml:space="preserve"> </w:t>
      </w:r>
      <w:proofErr w:type="gramStart"/>
      <w:r w:rsidRPr="000F2A5F">
        <w:rPr>
          <w:rFonts w:ascii="Times New Roman" w:hAnsi="Times New Roman" w:cs="Times New Roman"/>
          <w:i/>
          <w:sz w:val="28"/>
          <w:szCs w:val="28"/>
          <w:lang w:val="en-US"/>
        </w:rPr>
        <w:t>First European Conference on Wood and Archaeology</w:t>
      </w:r>
      <w:r w:rsidRPr="000F2A5F">
        <w:rPr>
          <w:rFonts w:ascii="Times New Roman" w:hAnsi="Times New Roman" w:cs="Times New Roman"/>
          <w:sz w:val="28"/>
          <w:szCs w:val="28"/>
          <w:lang w:val="en-US"/>
        </w:rPr>
        <w:t>.</w:t>
      </w:r>
      <w:proofErr w:type="gramEnd"/>
      <w:r w:rsidRPr="000F2A5F">
        <w:rPr>
          <w:rFonts w:ascii="Times New Roman" w:hAnsi="Times New Roman" w:cs="Times New Roman"/>
          <w:sz w:val="28"/>
          <w:szCs w:val="28"/>
          <w:lang w:val="en-US"/>
        </w:rPr>
        <w:t xml:space="preserve"> </w:t>
      </w:r>
      <w:r w:rsidRPr="000F2A5F">
        <w:rPr>
          <w:rFonts w:ascii="Times New Roman" w:hAnsi="Times New Roman" w:cs="Times New Roman"/>
          <w:sz w:val="28"/>
          <w:szCs w:val="28"/>
        </w:rPr>
        <w:t>Bois et Archéologie, Louvain-la Neuve, PACT 22-III. 5, 189-205.</w:t>
      </w:r>
    </w:p>
    <w:p w:rsidR="000F2A5F" w:rsidRPr="000F2A5F" w:rsidRDefault="000F2A5F" w:rsidP="00A92407">
      <w:pPr>
        <w:autoSpaceDE w:val="0"/>
        <w:autoSpaceDN w:val="0"/>
        <w:adjustRightInd w:val="0"/>
        <w:spacing w:before="120" w:after="0"/>
        <w:jc w:val="both"/>
        <w:rPr>
          <w:rFonts w:ascii="Times New Roman" w:hAnsi="Times New Roman" w:cs="Times New Roman"/>
          <w:sz w:val="28"/>
          <w:szCs w:val="28"/>
        </w:rPr>
      </w:pPr>
    </w:p>
    <w:p w:rsidR="008A44FD" w:rsidRPr="000F2A5F" w:rsidRDefault="008A44FD" w:rsidP="00A92407">
      <w:pPr>
        <w:autoSpaceDE w:val="0"/>
        <w:autoSpaceDN w:val="0"/>
        <w:adjustRightInd w:val="0"/>
        <w:spacing w:before="120" w:after="0"/>
        <w:jc w:val="both"/>
        <w:rPr>
          <w:rFonts w:ascii="Times New Roman" w:hAnsi="Times New Roman" w:cs="Times New Roman"/>
          <w:sz w:val="28"/>
          <w:szCs w:val="28"/>
        </w:rPr>
      </w:pPr>
      <w:r w:rsidRPr="000F2A5F">
        <w:rPr>
          <w:rFonts w:ascii="Times New Roman" w:hAnsi="Times New Roman" w:cs="Times New Roman"/>
          <w:b/>
          <w:bCs/>
          <w:sz w:val="28"/>
          <w:szCs w:val="28"/>
        </w:rPr>
        <w:t>BUI-THI-MAI, 1974</w:t>
      </w:r>
      <w:r w:rsidRPr="000F2A5F">
        <w:rPr>
          <w:rFonts w:ascii="Times New Roman" w:hAnsi="Times New Roman" w:cs="Times New Roman"/>
          <w:sz w:val="28"/>
          <w:szCs w:val="28"/>
        </w:rPr>
        <w:t xml:space="preserve"> – Contribution à l’étude du transport et de la sédimentation des pluies   polliniques dans un abri sous roche : l’Abri </w:t>
      </w:r>
      <w:proofErr w:type="spellStart"/>
      <w:r w:rsidRPr="000F2A5F">
        <w:rPr>
          <w:rFonts w:ascii="Times New Roman" w:hAnsi="Times New Roman" w:cs="Times New Roman"/>
          <w:sz w:val="28"/>
          <w:szCs w:val="28"/>
        </w:rPr>
        <w:t>Vaufrey</w:t>
      </w:r>
      <w:proofErr w:type="spellEnd"/>
      <w:r w:rsidRPr="000F2A5F">
        <w:rPr>
          <w:rFonts w:ascii="Times New Roman" w:hAnsi="Times New Roman" w:cs="Times New Roman"/>
          <w:sz w:val="28"/>
          <w:szCs w:val="28"/>
        </w:rPr>
        <w:t xml:space="preserve"> (Dordogne), Thèse 3e cycle, </w:t>
      </w:r>
      <w:proofErr w:type="spellStart"/>
      <w:r w:rsidRPr="000F2A5F">
        <w:rPr>
          <w:rFonts w:ascii="Times New Roman" w:hAnsi="Times New Roman" w:cs="Times New Roman"/>
          <w:sz w:val="28"/>
          <w:szCs w:val="28"/>
        </w:rPr>
        <w:t>Univ</w:t>
      </w:r>
      <w:proofErr w:type="spellEnd"/>
      <w:r w:rsidRPr="000F2A5F">
        <w:rPr>
          <w:rFonts w:ascii="Times New Roman" w:hAnsi="Times New Roman" w:cs="Times New Roman"/>
          <w:sz w:val="28"/>
          <w:szCs w:val="28"/>
        </w:rPr>
        <w:t>. Bordeaux, 121 p.</w:t>
      </w:r>
    </w:p>
    <w:p w:rsidR="008A44FD" w:rsidRPr="000F2A5F" w:rsidRDefault="008A44FD" w:rsidP="00A92407">
      <w:pPr>
        <w:rPr>
          <w:sz w:val="28"/>
          <w:szCs w:val="28"/>
        </w:rPr>
      </w:pPr>
    </w:p>
    <w:p w:rsidR="0000411A" w:rsidRPr="000F2A5F" w:rsidRDefault="0000411A" w:rsidP="00A92407">
      <w:pPr>
        <w:bidi/>
        <w:rPr>
          <w:rFonts w:asciiTheme="minorBidi" w:hAnsiTheme="minorBidi"/>
          <w:sz w:val="28"/>
          <w:szCs w:val="28"/>
          <w:lang w:bidi="ar-DZ"/>
        </w:rPr>
      </w:pPr>
    </w:p>
    <w:sectPr w:rsidR="0000411A" w:rsidRPr="000F2A5F" w:rsidSect="002A6235">
      <w:footerReference w:type="default" r:id="rId8"/>
      <w:footerReference w:type="first" r:id="rId9"/>
      <w:pgSz w:w="11906" w:h="16838"/>
      <w:pgMar w:top="1417" w:right="1417" w:bottom="1417" w:left="1417" w:header="708" w:footer="708" w:gutter="0"/>
      <w:pgNumType w:start="2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995" w:rsidRDefault="00D11995" w:rsidP="00537135">
      <w:pPr>
        <w:spacing w:after="0" w:line="240" w:lineRule="auto"/>
      </w:pPr>
      <w:r>
        <w:separator/>
      </w:r>
    </w:p>
  </w:endnote>
  <w:endnote w:type="continuationSeparator" w:id="1">
    <w:p w:rsidR="00D11995" w:rsidRDefault="00D11995" w:rsidP="00537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F5" w:rsidRDefault="00D802F5" w:rsidP="001E6295">
    <w:pPr>
      <w:pStyle w:val="Pieddepage"/>
    </w:pPr>
  </w:p>
  <w:p w:rsidR="00D802F5" w:rsidRDefault="00D802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35" w:rsidRDefault="002A6235" w:rsidP="00B11A9A">
    <w:pPr>
      <w:pStyle w:val="Pieddepage"/>
      <w:jc w:val="center"/>
    </w:pPr>
  </w:p>
  <w:p w:rsidR="003247A0" w:rsidRDefault="003247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995" w:rsidRDefault="00D11995" w:rsidP="00537135">
      <w:pPr>
        <w:spacing w:after="0" w:line="240" w:lineRule="auto"/>
      </w:pPr>
      <w:r>
        <w:separator/>
      </w:r>
    </w:p>
  </w:footnote>
  <w:footnote w:type="continuationSeparator" w:id="1">
    <w:p w:rsidR="00D11995" w:rsidRDefault="00D11995" w:rsidP="00537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165B"/>
    <w:multiLevelType w:val="hybridMultilevel"/>
    <w:tmpl w:val="DFAEB82E"/>
    <w:lvl w:ilvl="0" w:tplc="5FE44AE2">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6086842"/>
    <w:multiLevelType w:val="hybridMultilevel"/>
    <w:tmpl w:val="D24C2BCE"/>
    <w:lvl w:ilvl="0" w:tplc="FAA8B4A4">
      <w:start w:val="1"/>
      <w:numFmt w:val="bullet"/>
      <w:lvlText w:val=""/>
      <w:lvlJc w:val="left"/>
      <w:pPr>
        <w:tabs>
          <w:tab w:val="num" w:pos="720"/>
        </w:tabs>
        <w:ind w:left="720" w:hanging="360"/>
      </w:pPr>
      <w:rPr>
        <w:rFonts w:ascii="Wingdings 2" w:hAnsi="Wingdings 2" w:hint="default"/>
      </w:rPr>
    </w:lvl>
    <w:lvl w:ilvl="1" w:tplc="903E3470" w:tentative="1">
      <w:start w:val="1"/>
      <w:numFmt w:val="bullet"/>
      <w:lvlText w:val=""/>
      <w:lvlJc w:val="left"/>
      <w:pPr>
        <w:tabs>
          <w:tab w:val="num" w:pos="1440"/>
        </w:tabs>
        <w:ind w:left="1440" w:hanging="360"/>
      </w:pPr>
      <w:rPr>
        <w:rFonts w:ascii="Wingdings 2" w:hAnsi="Wingdings 2" w:hint="default"/>
      </w:rPr>
    </w:lvl>
    <w:lvl w:ilvl="2" w:tplc="F2F08ED6" w:tentative="1">
      <w:start w:val="1"/>
      <w:numFmt w:val="bullet"/>
      <w:lvlText w:val=""/>
      <w:lvlJc w:val="left"/>
      <w:pPr>
        <w:tabs>
          <w:tab w:val="num" w:pos="2160"/>
        </w:tabs>
        <w:ind w:left="2160" w:hanging="360"/>
      </w:pPr>
      <w:rPr>
        <w:rFonts w:ascii="Wingdings 2" w:hAnsi="Wingdings 2" w:hint="default"/>
      </w:rPr>
    </w:lvl>
    <w:lvl w:ilvl="3" w:tplc="2DB86F7A" w:tentative="1">
      <w:start w:val="1"/>
      <w:numFmt w:val="bullet"/>
      <w:lvlText w:val=""/>
      <w:lvlJc w:val="left"/>
      <w:pPr>
        <w:tabs>
          <w:tab w:val="num" w:pos="2880"/>
        </w:tabs>
        <w:ind w:left="2880" w:hanging="360"/>
      </w:pPr>
      <w:rPr>
        <w:rFonts w:ascii="Wingdings 2" w:hAnsi="Wingdings 2" w:hint="default"/>
      </w:rPr>
    </w:lvl>
    <w:lvl w:ilvl="4" w:tplc="0E3A2AA0" w:tentative="1">
      <w:start w:val="1"/>
      <w:numFmt w:val="bullet"/>
      <w:lvlText w:val=""/>
      <w:lvlJc w:val="left"/>
      <w:pPr>
        <w:tabs>
          <w:tab w:val="num" w:pos="3600"/>
        </w:tabs>
        <w:ind w:left="3600" w:hanging="360"/>
      </w:pPr>
      <w:rPr>
        <w:rFonts w:ascii="Wingdings 2" w:hAnsi="Wingdings 2" w:hint="default"/>
      </w:rPr>
    </w:lvl>
    <w:lvl w:ilvl="5" w:tplc="925A03B6" w:tentative="1">
      <w:start w:val="1"/>
      <w:numFmt w:val="bullet"/>
      <w:lvlText w:val=""/>
      <w:lvlJc w:val="left"/>
      <w:pPr>
        <w:tabs>
          <w:tab w:val="num" w:pos="4320"/>
        </w:tabs>
        <w:ind w:left="4320" w:hanging="360"/>
      </w:pPr>
      <w:rPr>
        <w:rFonts w:ascii="Wingdings 2" w:hAnsi="Wingdings 2" w:hint="default"/>
      </w:rPr>
    </w:lvl>
    <w:lvl w:ilvl="6" w:tplc="CAD266E4" w:tentative="1">
      <w:start w:val="1"/>
      <w:numFmt w:val="bullet"/>
      <w:lvlText w:val=""/>
      <w:lvlJc w:val="left"/>
      <w:pPr>
        <w:tabs>
          <w:tab w:val="num" w:pos="5040"/>
        </w:tabs>
        <w:ind w:left="5040" w:hanging="360"/>
      </w:pPr>
      <w:rPr>
        <w:rFonts w:ascii="Wingdings 2" w:hAnsi="Wingdings 2" w:hint="default"/>
      </w:rPr>
    </w:lvl>
    <w:lvl w:ilvl="7" w:tplc="95EC000C" w:tentative="1">
      <w:start w:val="1"/>
      <w:numFmt w:val="bullet"/>
      <w:lvlText w:val=""/>
      <w:lvlJc w:val="left"/>
      <w:pPr>
        <w:tabs>
          <w:tab w:val="num" w:pos="5760"/>
        </w:tabs>
        <w:ind w:left="5760" w:hanging="360"/>
      </w:pPr>
      <w:rPr>
        <w:rFonts w:ascii="Wingdings 2" w:hAnsi="Wingdings 2" w:hint="default"/>
      </w:rPr>
    </w:lvl>
    <w:lvl w:ilvl="8" w:tplc="30BE522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497C84"/>
    <w:rsid w:val="0000411A"/>
    <w:rsid w:val="00063608"/>
    <w:rsid w:val="00064A8E"/>
    <w:rsid w:val="00076DA1"/>
    <w:rsid w:val="000B45C2"/>
    <w:rsid w:val="000E5E65"/>
    <w:rsid w:val="000F2A5F"/>
    <w:rsid w:val="00100DE6"/>
    <w:rsid w:val="001332B4"/>
    <w:rsid w:val="0013418F"/>
    <w:rsid w:val="00144018"/>
    <w:rsid w:val="001524DF"/>
    <w:rsid w:val="00166E65"/>
    <w:rsid w:val="001733B3"/>
    <w:rsid w:val="00180D8C"/>
    <w:rsid w:val="0019578A"/>
    <w:rsid w:val="001B6B5D"/>
    <w:rsid w:val="001B768B"/>
    <w:rsid w:val="001C48D7"/>
    <w:rsid w:val="001D72EE"/>
    <w:rsid w:val="001E5F59"/>
    <w:rsid w:val="001E6295"/>
    <w:rsid w:val="001F497E"/>
    <w:rsid w:val="001F6C76"/>
    <w:rsid w:val="0021787A"/>
    <w:rsid w:val="00265CAC"/>
    <w:rsid w:val="00280C9A"/>
    <w:rsid w:val="002A6235"/>
    <w:rsid w:val="002B1F96"/>
    <w:rsid w:val="002C26AC"/>
    <w:rsid w:val="002C3545"/>
    <w:rsid w:val="00310065"/>
    <w:rsid w:val="003167BA"/>
    <w:rsid w:val="00316D9D"/>
    <w:rsid w:val="003247A0"/>
    <w:rsid w:val="00351C11"/>
    <w:rsid w:val="00367050"/>
    <w:rsid w:val="00391D23"/>
    <w:rsid w:val="003A10FE"/>
    <w:rsid w:val="003A2020"/>
    <w:rsid w:val="003A5B38"/>
    <w:rsid w:val="003C08CD"/>
    <w:rsid w:val="003C37CB"/>
    <w:rsid w:val="00427D03"/>
    <w:rsid w:val="004305D3"/>
    <w:rsid w:val="00430A69"/>
    <w:rsid w:val="00430F18"/>
    <w:rsid w:val="00450902"/>
    <w:rsid w:val="00482366"/>
    <w:rsid w:val="004929F9"/>
    <w:rsid w:val="00497C84"/>
    <w:rsid w:val="004E43D4"/>
    <w:rsid w:val="005023C2"/>
    <w:rsid w:val="00536579"/>
    <w:rsid w:val="00537135"/>
    <w:rsid w:val="005608FD"/>
    <w:rsid w:val="0056538B"/>
    <w:rsid w:val="0058009E"/>
    <w:rsid w:val="005803B7"/>
    <w:rsid w:val="00582CB1"/>
    <w:rsid w:val="006074F4"/>
    <w:rsid w:val="006075F9"/>
    <w:rsid w:val="00612E57"/>
    <w:rsid w:val="00640794"/>
    <w:rsid w:val="00664131"/>
    <w:rsid w:val="006B160F"/>
    <w:rsid w:val="006D326A"/>
    <w:rsid w:val="006E0783"/>
    <w:rsid w:val="0070601D"/>
    <w:rsid w:val="00717170"/>
    <w:rsid w:val="00746B7F"/>
    <w:rsid w:val="00747EED"/>
    <w:rsid w:val="007778B3"/>
    <w:rsid w:val="007B0E82"/>
    <w:rsid w:val="007B1517"/>
    <w:rsid w:val="007B799B"/>
    <w:rsid w:val="007D12C3"/>
    <w:rsid w:val="007D3E5E"/>
    <w:rsid w:val="007D630C"/>
    <w:rsid w:val="007E5B83"/>
    <w:rsid w:val="007F16E4"/>
    <w:rsid w:val="00803CB0"/>
    <w:rsid w:val="00845210"/>
    <w:rsid w:val="00852D9F"/>
    <w:rsid w:val="00872EA9"/>
    <w:rsid w:val="008A41AD"/>
    <w:rsid w:val="008A44FD"/>
    <w:rsid w:val="008A6DA6"/>
    <w:rsid w:val="008B1FF1"/>
    <w:rsid w:val="008C4D79"/>
    <w:rsid w:val="00947140"/>
    <w:rsid w:val="0095402F"/>
    <w:rsid w:val="009673CF"/>
    <w:rsid w:val="00994DA0"/>
    <w:rsid w:val="009A007D"/>
    <w:rsid w:val="009A39A1"/>
    <w:rsid w:val="009B5173"/>
    <w:rsid w:val="009D6141"/>
    <w:rsid w:val="009F00AB"/>
    <w:rsid w:val="00A0054B"/>
    <w:rsid w:val="00A041D1"/>
    <w:rsid w:val="00A123E4"/>
    <w:rsid w:val="00A17A21"/>
    <w:rsid w:val="00A3209B"/>
    <w:rsid w:val="00A340E9"/>
    <w:rsid w:val="00A52556"/>
    <w:rsid w:val="00A62E83"/>
    <w:rsid w:val="00A65932"/>
    <w:rsid w:val="00A66B68"/>
    <w:rsid w:val="00A92407"/>
    <w:rsid w:val="00AC5045"/>
    <w:rsid w:val="00AD1622"/>
    <w:rsid w:val="00AD3815"/>
    <w:rsid w:val="00AD56D0"/>
    <w:rsid w:val="00AD7AAE"/>
    <w:rsid w:val="00B03A59"/>
    <w:rsid w:val="00B11A9A"/>
    <w:rsid w:val="00B2717E"/>
    <w:rsid w:val="00B44E93"/>
    <w:rsid w:val="00B564FD"/>
    <w:rsid w:val="00B73663"/>
    <w:rsid w:val="00BA7939"/>
    <w:rsid w:val="00BB0FF7"/>
    <w:rsid w:val="00BB29D1"/>
    <w:rsid w:val="00BB45BB"/>
    <w:rsid w:val="00BB56BE"/>
    <w:rsid w:val="00C01779"/>
    <w:rsid w:val="00C0262B"/>
    <w:rsid w:val="00C10F54"/>
    <w:rsid w:val="00C26733"/>
    <w:rsid w:val="00C362D7"/>
    <w:rsid w:val="00C45A3B"/>
    <w:rsid w:val="00C60135"/>
    <w:rsid w:val="00C65532"/>
    <w:rsid w:val="00C7092B"/>
    <w:rsid w:val="00C74110"/>
    <w:rsid w:val="00CB363A"/>
    <w:rsid w:val="00CE0439"/>
    <w:rsid w:val="00D06A6F"/>
    <w:rsid w:val="00D11995"/>
    <w:rsid w:val="00D367F2"/>
    <w:rsid w:val="00D4124C"/>
    <w:rsid w:val="00D41EFF"/>
    <w:rsid w:val="00D67885"/>
    <w:rsid w:val="00D802F5"/>
    <w:rsid w:val="00D87340"/>
    <w:rsid w:val="00DA2933"/>
    <w:rsid w:val="00DA7276"/>
    <w:rsid w:val="00DD5857"/>
    <w:rsid w:val="00DE22ED"/>
    <w:rsid w:val="00DF3BFC"/>
    <w:rsid w:val="00E312B9"/>
    <w:rsid w:val="00E31EEF"/>
    <w:rsid w:val="00E50BA5"/>
    <w:rsid w:val="00E533E6"/>
    <w:rsid w:val="00E5682D"/>
    <w:rsid w:val="00E61697"/>
    <w:rsid w:val="00E72037"/>
    <w:rsid w:val="00EA02AF"/>
    <w:rsid w:val="00ED0D3B"/>
    <w:rsid w:val="00ED2CC3"/>
    <w:rsid w:val="00ED4494"/>
    <w:rsid w:val="00EE64E4"/>
    <w:rsid w:val="00F030FD"/>
    <w:rsid w:val="00F352F0"/>
    <w:rsid w:val="00F43F6F"/>
    <w:rsid w:val="00F7404B"/>
    <w:rsid w:val="00F81DF1"/>
    <w:rsid w:val="00F914D4"/>
    <w:rsid w:val="00FA1006"/>
    <w:rsid w:val="00FA1F5B"/>
    <w:rsid w:val="00FD16FD"/>
    <w:rsid w:val="00FE4D1F"/>
    <w:rsid w:val="00FF1F8F"/>
    <w:rsid w:val="00FF27E4"/>
    <w:rsid w:val="00FF7A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FD"/>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4E4"/>
    <w:pPr>
      <w:ind w:left="720"/>
      <w:contextualSpacing/>
    </w:pPr>
    <w:rPr>
      <w:rFonts w:asciiTheme="minorHAnsi" w:eastAsiaTheme="minorHAnsi" w:hAnsiTheme="minorHAnsi" w:cstheme="minorBidi"/>
      <w:lang w:eastAsia="en-US"/>
    </w:rPr>
  </w:style>
  <w:style w:type="paragraph" w:customStyle="1" w:styleId="Default">
    <w:name w:val="Default"/>
    <w:rsid w:val="00EE64E4"/>
    <w:pPr>
      <w:autoSpaceDE w:val="0"/>
      <w:autoSpaceDN w:val="0"/>
      <w:adjustRightInd w:val="0"/>
      <w:spacing w:after="0" w:line="240" w:lineRule="auto"/>
    </w:pPr>
    <w:rPr>
      <w:rFonts w:ascii="Monotype Corsiva" w:hAnsi="Monotype Corsiva" w:cs="Monotype Corsiva"/>
      <w:color w:val="000000"/>
      <w:sz w:val="24"/>
      <w:szCs w:val="24"/>
    </w:rPr>
  </w:style>
  <w:style w:type="character" w:styleId="Lienhypertexte">
    <w:name w:val="Hyperlink"/>
    <w:basedOn w:val="Policepardfaut"/>
    <w:uiPriority w:val="99"/>
    <w:unhideWhenUsed/>
    <w:rsid w:val="00C10F54"/>
    <w:rPr>
      <w:color w:val="0000FF" w:themeColor="hyperlink"/>
      <w:u w:val="single"/>
    </w:rPr>
  </w:style>
  <w:style w:type="paragraph" w:styleId="En-tte">
    <w:name w:val="header"/>
    <w:basedOn w:val="Normal"/>
    <w:link w:val="En-tteCar"/>
    <w:uiPriority w:val="99"/>
    <w:semiHidden/>
    <w:unhideWhenUsed/>
    <w:rsid w:val="0053713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semiHidden/>
    <w:rsid w:val="00537135"/>
  </w:style>
  <w:style w:type="paragraph" w:styleId="Pieddepage">
    <w:name w:val="footer"/>
    <w:basedOn w:val="Normal"/>
    <w:link w:val="PieddepageCar"/>
    <w:uiPriority w:val="99"/>
    <w:unhideWhenUsed/>
    <w:rsid w:val="00537135"/>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537135"/>
  </w:style>
</w:styles>
</file>

<file path=word/webSettings.xml><?xml version="1.0" encoding="utf-8"?>
<w:webSettings xmlns:r="http://schemas.openxmlformats.org/officeDocument/2006/relationships" xmlns:w="http://schemas.openxmlformats.org/wordprocessingml/2006/main">
  <w:divs>
    <w:div w:id="1071734968">
      <w:bodyDiv w:val="1"/>
      <w:marLeft w:val="0"/>
      <w:marRight w:val="0"/>
      <w:marTop w:val="0"/>
      <w:marBottom w:val="0"/>
      <w:divBdr>
        <w:top w:val="none" w:sz="0" w:space="0" w:color="auto"/>
        <w:left w:val="none" w:sz="0" w:space="0" w:color="auto"/>
        <w:bottom w:val="none" w:sz="0" w:space="0" w:color="auto"/>
        <w:right w:val="none" w:sz="0" w:space="0" w:color="auto"/>
      </w:divBdr>
    </w:div>
    <w:div w:id="1957786279">
      <w:bodyDiv w:val="1"/>
      <w:marLeft w:val="0"/>
      <w:marRight w:val="0"/>
      <w:marTop w:val="0"/>
      <w:marBottom w:val="0"/>
      <w:divBdr>
        <w:top w:val="none" w:sz="0" w:space="0" w:color="auto"/>
        <w:left w:val="none" w:sz="0" w:space="0" w:color="auto"/>
        <w:bottom w:val="none" w:sz="0" w:space="0" w:color="auto"/>
        <w:right w:val="none" w:sz="0" w:space="0" w:color="auto"/>
      </w:divBdr>
      <w:divsChild>
        <w:div w:id="20592370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9EFA-757E-476C-87EF-C44EF432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Missou</dc:creator>
  <cp:lastModifiedBy>Customer</cp:lastModifiedBy>
  <cp:revision>53</cp:revision>
  <cp:lastPrinted>2016-02-25T07:12:00Z</cp:lastPrinted>
  <dcterms:created xsi:type="dcterms:W3CDTF">2015-06-06T10:39:00Z</dcterms:created>
  <dcterms:modified xsi:type="dcterms:W3CDTF">2019-03-13T10:54:00Z</dcterms:modified>
</cp:coreProperties>
</file>