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A" w:rsidRPr="00A92E1A" w:rsidRDefault="00DC238A" w:rsidP="00DC238A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A92E1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نظرية الاستلزام الحواري</w:t>
      </w:r>
    </w:p>
    <w:p w:rsidR="00DC238A" w:rsidRPr="00DC238A" w:rsidRDefault="00DC238A" w:rsidP="00DC238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    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استنادا إلى </w:t>
      </w:r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الوظائف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الست التي أقرها رومان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جاكبسون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</w:rPr>
        <w:t xml:space="preserve"> Roman Jakobson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،فإنه لا يستقيم النص خطابا إلا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بها،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فالمرسل وظيفته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انفعالية،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والمرسل إليه وظيفته تأثيرية،والرسالة وظيفتها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جمالية/شعرية،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والمرجع وظيفته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مرجعية،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والقناة وظيفتها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إيصالية،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واللغة وظيفتها وصفية تفسيرية،وهذا النموذج التواصلي لهذا اللغوي 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حقق للنص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تواصليته؛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ذلك أن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الملفوظ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خطاب في المقام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الأول،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وعناصره الخطابية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هي: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الباث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أو المرسل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والمرسل إليه أو المتلقي لهذا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الخطاب،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ورسالة خطابية معينة تختلف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مرسل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لآخر،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مع سياق وظرف معين لهذا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الخطاب،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ووجود سنن أسلوبي متعارف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عليه،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والأكثر من ذلك أن تواصلية الخطاب قد تحمل الوظائف الستة معا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تأثيرية،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تأثرية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شعرية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مرجعية،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إيصالية،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وصفية.</w:t>
      </w:r>
    </w:p>
    <w:p w:rsidR="00DC238A" w:rsidRPr="00DC238A" w:rsidRDefault="00DC238A" w:rsidP="00DC238A">
      <w:pPr>
        <w:pStyle w:val="Notedebasdepage"/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التخاطب من المنظور التداولي ينبني على مجموعة من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المبادئ،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التي جمعها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الفيلسوف والتداولي الأمريكي "بول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غرايس"(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lang w:val="en-US" w:bidi="ar-DZ"/>
        </w:rPr>
        <w:t>Paul Grice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)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اشتهرت 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بـ"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حكم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المحادثة"،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وهي مقاربة </w:t>
      </w:r>
      <w:r w:rsidRPr="00DC238A">
        <w:rPr>
          <w:rFonts w:ascii="Traditional Arabic" w:hAnsi="Traditional Arabic" w:cs="Traditional Arabic" w:hint="cs"/>
          <w:sz w:val="32"/>
          <w:szCs w:val="32"/>
          <w:u w:val="single"/>
          <w:rtl/>
        </w:rPr>
        <w:t>لإنتاج</w:t>
      </w:r>
      <w:r w:rsidRPr="00DC238A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الجمل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وتأويلها،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وفق مفهومي الاستلزام الخطابي 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</w:rPr>
        <w:t>convrsational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</w:rPr>
        <w:t>implicature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>ومبدأ التعاون</w:t>
      </w:r>
      <w:r w:rsidRPr="00DC238A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</w:rPr>
        <w:t>co-operative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</w:rPr>
        <w:t>principle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lang w:val="en-US"/>
        </w:rPr>
        <w:t xml:space="preserve"> 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وهي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مبادئ</w:t>
      </w:r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مبثوثة في ثنايا محاضرته المعنونة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بـ"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محاضرات في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التخاطب"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وفي مقالته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الشهيرة"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المنطق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والتخاطب"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</w:t>
      </w:r>
      <w:proofErr w:type="spellEnd"/>
    </w:p>
    <w:p w:rsidR="00DC238A" w:rsidRPr="00DC238A" w:rsidRDefault="00DC238A" w:rsidP="00DC238A">
      <w:pPr>
        <w:pStyle w:val="Notedebasdepage"/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</w:rPr>
        <w:t>فأما الاستلزام الحواري فهو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المعنى المشتق من السياق الدال على معنيين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آخرين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مثل "لا </w:t>
      </w:r>
      <w:r w:rsidRPr="00DC238A">
        <w:rPr>
          <w:rFonts w:ascii="Traditional Arabic" w:hAnsi="Traditional Arabic" w:cs="Traditional Arabic"/>
          <w:sz w:val="32"/>
          <w:szCs w:val="32"/>
          <w:u w:val="single"/>
          <w:rtl/>
        </w:rPr>
        <w:t>تنه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عن خلق حسن 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وآمر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بالمعروف"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ففي الجملة فعلين لغويين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هما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النهي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والأمر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يستدل عليهما بقرائن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بنيوية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؛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هي لا الناهية وصيغة الأمر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افعل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والاستلزام الحواري هنا هو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النصيحة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وهو معنى مشتق من المعنيين السابقين دل عليه السياق،</w:t>
      </w:r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في حين يقوم مبدأ التعاون على المقولة التي ي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</w:t>
      </w:r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شارك فيها القائل والمتلقي بهدف فهم الخطاب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وهي: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"ليكن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انتهاضك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للتخاطب على الوجه الذي يقتضيه الغرض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منه"،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ثم فر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ّ</w:t>
      </w:r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ع</w:t>
      </w:r>
      <w:r w:rsidRPr="00DC238A">
        <w:rPr>
          <w:rFonts w:ascii="Traditional Arabic" w:hAnsi="Traditional Arabic" w:cs="Traditional Arabic"/>
          <w:sz w:val="32"/>
          <w:szCs w:val="32"/>
          <w:u w:val="single"/>
          <w:rtl/>
          <w:lang w:val="en-US" w:bidi="ar-DZ"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غرايس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هذا المبدأ العام إلى مجموعة من القواعد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التخاطبية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التي أريد منها ضبط الحوار وتوجيهه بما يسمح للمتحدث وللمخاطب من تواصل ناجح.</w:t>
      </w:r>
    </w:p>
    <w:p w:rsidR="00DC238A" w:rsidRPr="00DC238A" w:rsidRDefault="00DC238A" w:rsidP="00DC238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lastRenderedPageBreak/>
        <w:t xml:space="preserve">وقد قسم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غرايس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هذا المبدأ إلى أربعة أقسام هي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الكم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والكيف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والعلاقة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والجهة،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وقد صاغها وترجمها 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الباحث 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طه عبد الرحمن في كتابه 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اللسان والميزان أو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التكوثر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العقلي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النحو الآتي</w:t>
      </w:r>
      <w:r>
        <w:rPr>
          <w:rStyle w:val="Appelnotedebasdep"/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DC238A" w:rsidRPr="00DC238A" w:rsidRDefault="00DC238A" w:rsidP="00DC238A">
      <w:pPr>
        <w:numPr>
          <w:ilvl w:val="0"/>
          <w:numId w:val="1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قاعدتا كم الخبر :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لتكن إفادتك للمخاطب على قدر حاجته.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لا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تجعل إفادتك تتعدى القدر المطلوب.</w:t>
      </w:r>
    </w:p>
    <w:p w:rsidR="00DC238A" w:rsidRPr="00DC238A" w:rsidRDefault="00DC238A" w:rsidP="00DC238A">
      <w:pPr>
        <w:numPr>
          <w:ilvl w:val="0"/>
          <w:numId w:val="1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قاعدتا</w:t>
      </w:r>
      <w:proofErr w:type="gramEnd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كيف الخبر: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لا</w:t>
      </w:r>
      <w:proofErr w:type="gramEnd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تقل ما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تعلم أنه ليس صادقا أو ما تعلم كذبه.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لا</w:t>
      </w:r>
      <w:proofErr w:type="gram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تقل ما ليست لك عليه بينة أو دليل يثبت صدق قولك.</w:t>
      </w:r>
    </w:p>
    <w:p w:rsidR="00DC238A" w:rsidRPr="00DC238A" w:rsidRDefault="00DC238A" w:rsidP="00DC238A">
      <w:pPr>
        <w:numPr>
          <w:ilvl w:val="0"/>
          <w:numId w:val="1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قاعدة علاقة الخبر بمقتضى الحال: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ليناسبك مقامك أو مناسبة الكلام للسياق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الإستعمال</w:t>
      </w:r>
      <w:r w:rsidRPr="00DC238A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DC238A" w:rsidRPr="00DC238A" w:rsidRDefault="00DC238A" w:rsidP="00DC238A">
      <w:pPr>
        <w:numPr>
          <w:ilvl w:val="0"/>
          <w:numId w:val="1"/>
        </w:num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قواعد جهة الخبر: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لتحترز من الالتباس.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لتحترز من 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الإجمال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لتتكلم 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بإيجاز</w:t>
      </w: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DC238A" w:rsidRPr="00DC238A" w:rsidRDefault="00DC238A" w:rsidP="00DC238A">
      <w:pPr>
        <w:numPr>
          <w:ilvl w:val="0"/>
          <w:numId w:val="2"/>
        </w:numPr>
        <w:bidi/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238A">
        <w:rPr>
          <w:rFonts w:ascii="Traditional Arabic" w:hAnsi="Traditional Arabic" w:cs="Traditional Arabic"/>
          <w:sz w:val="32"/>
          <w:szCs w:val="32"/>
          <w:rtl/>
          <w:lang w:bidi="ar-DZ"/>
        </w:rPr>
        <w:t>لترتب كلامك.</w:t>
      </w:r>
    </w:p>
    <w:p w:rsidR="00DC238A" w:rsidRPr="00DC238A" w:rsidRDefault="00DC238A" w:rsidP="00DC238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وهكذا يمكن للتحليل التداولي أن يتعامل مع نص التفسير أو خطابه باعتباره بنية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تخاطبية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/تواصلية بين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طرفين،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يجمع بينهم سياق هو المحدد لنوع التخاطب التداولي. يبسط تطبيقاته العملية على الخطاب انطلاقا من اعتباره استلزاما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حواريا،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يجمع بين الدلالات الصريحة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والضمنية؛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يتعلق الاستلزام الحواري بالدلالات الضمنية التي يقتضيها سياق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التلفظ،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بنقل الكلام من حيزه الحرفي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والقضوي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المباشر إلى المعنى الحواري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الاستلزامي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غير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المباشر،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الذي يتحكم فيه السياق التداولي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بمعنى أن الجمل الخطابية قد تحمل معاني صريحة أو ضمنية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صريحة حين تحمل محتوى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قضوي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وقوة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إنجازية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حرفية وهو معنى مباشر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وصريح،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ضمنية حين تكون إما ذات معنى عرفي يتعلق بالإحالة والدلالة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المنطقية،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ومعنى حواري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تجمع بين الاستلزام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الدلالة المنطقية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والمعاني الحوارية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استلزام حواري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).</w:t>
      </w:r>
      <w:proofErr w:type="spellEnd"/>
    </w:p>
    <w:p w:rsidR="00DC238A" w:rsidRPr="00DC238A" w:rsidRDefault="00DC238A" w:rsidP="00DC238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والملاحظ على الاستلزام الحواري أنه لا ينفصل عن نظرية الأفعال الكلامية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ذلك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أن:</w:t>
      </w:r>
      <w:proofErr w:type="spellEnd"/>
      <w:r w:rsidRPr="00DC238A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DC238A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ظاهرة الاستلزام الحواري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دُرست،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بعد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كرايس،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إطار نظرية الأفعال اللغوية على أساس أنها ظاهرة تعدد الأفعال اللغوية بالنسبة للمحتوى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القضوي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الواحد،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يصنف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سيرل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الجمل،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حيث عدد الأفعال اللغوية المواكبة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صنفين: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جملٌ يواكبها فعل لغوي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واحد،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وجملٌ يواكبها أكثر من فعل لغوي واحد. في حالة مواكبة فعليين لغويين اثنين للجملة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الواحدة،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يميز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سيرل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بين الفعل اللغوي المباشر والفعل اللغوي غير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المباشر،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بين الفعل اللغوي الحرفي المدلول عليه بصيغة الجملة ذاتها والفعل اللغوي المفاد من المقام </w:t>
      </w:r>
      <w:proofErr w:type="spellStart"/>
      <w:r w:rsidRPr="00DC238A">
        <w:rPr>
          <w:rFonts w:cs="Traditional Arabic" w:hint="eastAsia"/>
          <w:sz w:val="32"/>
          <w:szCs w:val="32"/>
          <w:rtl/>
          <w:lang w:bidi="ar-DZ"/>
        </w:rPr>
        <w:t>»</w:t>
      </w:r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>الاستلزام الحواري هو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المعنى المشتق من السياق الدال على معنيين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آخرين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؛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مثل "لا تنه عن خلق حسن و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مر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بالمعروف"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ففي الجملة فعلين لغويين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هما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النهي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والأمر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يستدل عليهما بقرائن بنيوية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لا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الناهية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وصيغة الأمر افعل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وأمر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).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والاستلزام </w:t>
      </w:r>
      <w:proofErr w:type="gramStart"/>
      <w:r w:rsidRPr="00DC238A">
        <w:rPr>
          <w:rFonts w:ascii="Traditional Arabic" w:hAnsi="Traditional Arabic" w:cs="Traditional Arabic"/>
          <w:sz w:val="32"/>
          <w:szCs w:val="32"/>
          <w:rtl/>
        </w:rPr>
        <w:t>الحواري</w:t>
      </w:r>
      <w:proofErr w:type="gram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هنا هو </w:t>
      </w:r>
      <w:proofErr w:type="spellStart"/>
      <w:r w:rsidRPr="00DC238A">
        <w:rPr>
          <w:rFonts w:ascii="Traditional Arabic" w:hAnsi="Traditional Arabic" w:cs="Traditional Arabic"/>
          <w:sz w:val="32"/>
          <w:szCs w:val="32"/>
          <w:rtl/>
        </w:rPr>
        <w:t>النصيحة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وهو معنى مشتق من المعنيين السابقين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(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النهي والأمر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Pr="00DC238A">
        <w:rPr>
          <w:rFonts w:ascii="Traditional Arabic" w:hAnsi="Traditional Arabic" w:cs="Traditional Arabic"/>
          <w:sz w:val="32"/>
          <w:szCs w:val="32"/>
          <w:rtl/>
        </w:rPr>
        <w:t xml:space="preserve"> دل عليه السياق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C238A" w:rsidRPr="00DC238A" w:rsidRDefault="00DC238A" w:rsidP="00DC238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ويرى</w:t>
      </w:r>
      <w:proofErr w:type="gram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الباحث أحمد المتوكل بأن فلاسفة اللغة العادية لم يهتموا بقضايا أخرى من:</w:t>
      </w:r>
      <w:r w:rsidRPr="00DC238A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DC238A">
        <w:rPr>
          <w:rFonts w:cs="Traditional Arabic" w:hint="cs"/>
          <w:sz w:val="32"/>
          <w:szCs w:val="32"/>
          <w:rtl/>
          <w:lang w:bidi="ar-DZ"/>
        </w:rPr>
        <w:t>«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تداوليات اللغة الطبيعية كالجوانب المرتبطة بالبنية الإخبارية للجملة عنايتهم بالإحالة والاقتضاء والأفعال اللغوية والاستلزام الحواري. </w:t>
      </w:r>
      <w:proofErr w:type="gram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proofErr w:type="gram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الجوانب المغلفة في الدرس الفلسفي هي أنواع العلاقات الإخبارية القائمة بين مكونات الجمل. </w:t>
      </w:r>
      <w:proofErr w:type="gram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فبالإضافة</w:t>
      </w:r>
      <w:proofErr w:type="gram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إلى العلاقات الدلالية كالمنفذ والمتقبل والمستقبل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والأداة،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والعلاقات التركيبية كالفاعل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والمفعول،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تقوم بين مكونات الجملة علاقات تداولية كالمبتدأ والذيل والمنادى والمحور والبؤرة والمعطى والجديد وغيرها </w:t>
      </w:r>
      <w:proofErr w:type="spellStart"/>
      <w:r w:rsidRPr="00DC238A">
        <w:rPr>
          <w:rFonts w:cs="Traditional Arabic" w:hint="eastAsia"/>
          <w:sz w:val="32"/>
          <w:szCs w:val="32"/>
          <w:rtl/>
          <w:lang w:bidi="ar-DZ"/>
        </w:rPr>
        <w:t>»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C238A" w:rsidRPr="00DC238A" w:rsidRDefault="00DC238A" w:rsidP="00DC238A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وفي ضوء مفهوم الاستلزام الحواري المتعلق بالتحليل التداولي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للخطاب،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يمكننا تصنيف الجمل اللغوية في التفسير إلى جمل صريحة المعنى ذات أفعال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قضوية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وذات قوة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إنجازية،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ومعاني ضمنية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إحالية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وعرفية ومنطقية. فيكون الاستلزام </w:t>
      </w:r>
      <w:r w:rsidRPr="00DC238A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الحواري استكشافا للمعاني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الإنجازية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المتضمنة في السياق أو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المقام،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انطلاقا مما تمده التداوليات الوظيفة من أدوات فاحصة للأدوار التركيبية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النحوية،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والأدوار الدلالية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والتداولية،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مع تصنيف أفعال الخطاب التفسيري إلى أفعال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تلفضية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وأفعال 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قضوية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وأفعال </w:t>
      </w:r>
      <w:proofErr w:type="spellStart"/>
      <w:r w:rsidRPr="00DC238A">
        <w:rPr>
          <w:rFonts w:ascii="Traditional Arabic" w:hAnsi="Traditional Arabic" w:cs="Traditional Arabic" w:hint="cs"/>
          <w:sz w:val="32"/>
          <w:szCs w:val="32"/>
          <w:rtl/>
        </w:rPr>
        <w:t>اقتضائية</w:t>
      </w:r>
      <w:proofErr w:type="spellEnd"/>
      <w:r w:rsidRPr="00DC238A">
        <w:rPr>
          <w:rFonts w:ascii="Traditional Arabic" w:hAnsi="Traditional Arabic" w:cs="Traditional Arabic" w:hint="cs"/>
          <w:sz w:val="32"/>
          <w:szCs w:val="32"/>
          <w:rtl/>
        </w:rPr>
        <w:t xml:space="preserve"> وأفعال عرفية غيرها.</w:t>
      </w:r>
    </w:p>
    <w:p w:rsidR="00EA5D69" w:rsidRDefault="00EA5D69" w:rsidP="00DC238A">
      <w:pPr>
        <w:bidi/>
      </w:pPr>
    </w:p>
    <w:sectPr w:rsidR="00EA5D69" w:rsidSect="00EA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C5" w:rsidRDefault="00BD22C5" w:rsidP="00DC238A">
      <w:pPr>
        <w:spacing w:after="0" w:line="240" w:lineRule="auto"/>
      </w:pPr>
      <w:r>
        <w:separator/>
      </w:r>
    </w:p>
  </w:endnote>
  <w:endnote w:type="continuationSeparator" w:id="0">
    <w:p w:rsidR="00BD22C5" w:rsidRDefault="00BD22C5" w:rsidP="00DC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C5" w:rsidRDefault="00BD22C5" w:rsidP="00DC238A">
      <w:pPr>
        <w:spacing w:after="0" w:line="240" w:lineRule="auto"/>
      </w:pPr>
      <w:r>
        <w:separator/>
      </w:r>
    </w:p>
  </w:footnote>
  <w:footnote w:type="continuationSeparator" w:id="0">
    <w:p w:rsidR="00BD22C5" w:rsidRDefault="00BD22C5" w:rsidP="00DC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4B55"/>
    <w:multiLevelType w:val="hybridMultilevel"/>
    <w:tmpl w:val="587615CC"/>
    <w:lvl w:ilvl="0" w:tplc="6646E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3AD3"/>
    <w:multiLevelType w:val="hybridMultilevel"/>
    <w:tmpl w:val="79B6CF70"/>
    <w:lvl w:ilvl="0" w:tplc="C9D46A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38A"/>
    <w:rsid w:val="00066141"/>
    <w:rsid w:val="00A92E1A"/>
    <w:rsid w:val="00AF05F8"/>
    <w:rsid w:val="00BD22C5"/>
    <w:rsid w:val="00DC238A"/>
    <w:rsid w:val="00EA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8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DC23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C238A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DC23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rahmouni</dc:creator>
  <cp:keywords/>
  <dc:description/>
  <cp:lastModifiedBy>rahmouni</cp:lastModifiedBy>
  <cp:revision>3</cp:revision>
  <dcterms:created xsi:type="dcterms:W3CDTF">2023-01-04T20:53:00Z</dcterms:created>
  <dcterms:modified xsi:type="dcterms:W3CDTF">2023-01-04T21:02:00Z</dcterms:modified>
</cp:coreProperties>
</file>