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22" w:rsidRPr="003C164A" w:rsidRDefault="00A46922" w:rsidP="00A46922">
      <w:pPr>
        <w:bidi/>
        <w:spacing w:before="100" w:beforeAutospacing="1" w:after="100" w:afterAutospacing="1" w:line="360" w:lineRule="auto"/>
        <w:jc w:val="center"/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</w:pPr>
      <w:proofErr w:type="gramStart"/>
      <w:r w:rsidRPr="003C164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التداولية</w:t>
      </w:r>
      <w:proofErr w:type="gramEnd"/>
      <w:r w:rsidRPr="003C164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والبلاغة الجديدة</w:t>
      </w:r>
    </w:p>
    <w:p w:rsidR="00A46922" w:rsidRPr="003C164A" w:rsidRDefault="00A46922" w:rsidP="00A46922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لقد وضع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مجموعة من اللسانيين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قواعد لسانية تداولية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للحجاج؛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ومن أبرز هؤلاء اللسانيين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أزوالد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 </w:t>
      </w:r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</w:rPr>
        <w:t>Oswald Ducrot</w:t>
      </w:r>
      <w:proofErr w:type="spellStart"/>
      <w:r w:rsidRPr="003C164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> 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الذي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نظر إلى فعل الحِجَاج على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أنه: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«فعل محدد بواسطة البنية اللسانية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للملفوظات،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وضمن العملية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يكون استغلال محتمل لبنية دون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أخرى،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أو لصيغة أسلوبية دون أخرى».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ينطلق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من المحدد اللساني في توصيف الحجاج ثم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التنوع في استخدام البنيات اللسانية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؛ذلك أن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العملية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تقتضي استغلال صيغة أسلوبية دون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أخرى،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وه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ذه إشارة غير معلنة عن دور السياق في توجيه البنى الأسلوبية.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</w:p>
    <w:p w:rsidR="00A46922" w:rsidRPr="003C164A" w:rsidRDefault="00A46922" w:rsidP="00A46922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حسب </w:t>
      </w:r>
      <w:proofErr w:type="spellStart"/>
      <w:r w:rsidRPr="003C164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يكون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فعل الحِجَاج فعل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توجيهي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ا؛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حيث: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«يفرض على المُخَاطَب نمطاً معيناً من النتائج باعتباره الاتجاه الوحيد الذي يمكن أن يسير فيه الحوار. والقيمة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لقول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ما،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هي نوع من الإلزام تعلق بالطريقة التي ينبغي أن يسلكها الخطاب بخصوص تناميه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واستمراره»</w:t>
      </w:r>
      <w:proofErr w:type="spellEnd"/>
      <w:r w:rsidRPr="003C164A">
        <w:rPr>
          <w:rStyle w:val="Appelnotedebasdep"/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footnoteReference w:id="1"/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.فهذه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عناية لأنماط الحوار الجدلية القائمة بين المرسل والمرسل إليه،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وظيفة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فالفعل التوجيهي يقوم على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توج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ي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ه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الحوار  وفق نمط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معين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ل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ينتج قيمة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هي حصيلة الإلزام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بالطريقة التي يجب أن يكون عليها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الخطاب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كبنية لغوية تنمو وتستمر وفق ما تحققه من قيم دالة.</w:t>
      </w:r>
    </w:p>
    <w:p w:rsidR="00A46922" w:rsidRPr="003C164A" w:rsidRDefault="00A46922" w:rsidP="00A46922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   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و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هنا يميز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بين وظيفتين من وظائف اللغة وهما </w:t>
      </w:r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الوظيفة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والوظيفة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الإخبارية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حيث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يرى أن الوظيفة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الإخبارية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: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«هي وظيفة ثانوية بالنسبة للوظيفة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. </w:t>
      </w:r>
      <w:proofErr w:type="gram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فادِّعاء</w:t>
      </w:r>
      <w:proofErr w:type="gram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وصف الحقيقة لن يكون إذاً إلَّا تزويراً هذا الادعاء لا يكون أكثر من ملامستنا لما هو جوهري وذلك لإحداث الضغط على تصورات الآخر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[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...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]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تتغير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طبيعتها،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عند استعمالنا لها بشكل مباشر داخل بنية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مركبة،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مما يجعل كينونتها تتغير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سيميائيًّا»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.</w:t>
      </w:r>
    </w:p>
    <w:p w:rsidR="00A46922" w:rsidRPr="003C164A" w:rsidRDefault="00A46922" w:rsidP="00A46922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lastRenderedPageBreak/>
        <w:t xml:space="preserve">     وهكذا فالتواصل أساسه الحجاج وليس الإخبار،فكل دعوى بوصف الحقيقة دعوى مزورة تستند على تصور خاص وتحاول إحداث ضغط على تصور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>الآخر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</w:rPr>
        <w:t xml:space="preserve">والبناء اللغوي للخطاب هو الذي يضبط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توجهات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المتواصلين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ألا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ف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اللغة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بوصفها سلوكا تواصليا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و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ل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ثراء أبنيتها في اعتقاد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ه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ي التي تمد الدرس الحجاجي بمادة الدراسة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،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ذلك إن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«ترابط الأقوال لا يستند إلى قواعد الاستدلال المنطقي وإنما هو ترابط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حجاجي؛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لأنه مسجل في أبنية اللغة بصفته علاقات توجه القول وجهة دون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أخرى،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وتفرض ربطه بقول دون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آخر،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فموضوع الحِجَاج في اللغة هو بيان ما يتضمنه القول من قوة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تمثل مكوناً أساسيًّا لا ينفصل عن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معناه،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يجعل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المتكلم،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في اللحظة التي يتكلم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فيها،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يوجه قوله وجهة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ما»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.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وهكذا نجد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يؤمن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بأن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لكل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الملفوظات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قوة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ف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الحجاج ليس قوة خارجية تكتسبها اللغة بل ه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و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قوة داخلية كامنة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في اللغة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يو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ظفها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مستعملو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ها،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وهذا ما أطلق عليه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«الحجاج في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اللغة».</w:t>
      </w:r>
      <w:proofErr w:type="spellEnd"/>
    </w:p>
    <w:p w:rsidR="00A46922" w:rsidRPr="003C164A" w:rsidRDefault="00A46922" w:rsidP="00A46922">
      <w:pPr>
        <w:tabs>
          <w:tab w:val="left" w:pos="410"/>
          <w:tab w:val="center" w:pos="5102"/>
        </w:tabs>
        <w:bidi/>
        <w:spacing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      إن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ترابط الأقوال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ترابط حجاجي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و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موضوع الحِجَاج في اللغة هو بيان ما يتضمنه القول من قوة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حجاجية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،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فالوظيفة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قائمة على البحث في ترابط الأقوال والقوة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الحجاجية،</w:t>
      </w:r>
      <w:proofErr w:type="spellEnd"/>
      <w:r w:rsidRPr="003C164A">
        <w:rPr>
          <w:rFonts w:hint="cs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>وع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ليه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فالحجاج وظيفة من أهم وظائف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اللغة،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يتقاطع مع وظيفة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التواصل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 xml:space="preserve">باعتبارها من وظائفها كذلك </w:t>
      </w:r>
      <w:proofErr w:type="spellStart"/>
      <w:r w:rsidRPr="003C164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3C164A">
        <w:rPr>
          <w:rFonts w:ascii="Traditional Arabic" w:hAnsi="Traditional Arabic" w:cs="Traditional Arabic" w:hint="cs"/>
          <w:sz w:val="32"/>
          <w:szCs w:val="32"/>
          <w:rtl/>
        </w:rPr>
        <w:t xml:space="preserve"> ومن ثمة ف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الحجاج هو التواصل الفعال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والناجع،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باعتباره يستطيع أن يحدث في الأطراف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المتحاججة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ضربا من التغيير.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وعلى هذا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«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فإن التوجيه هو الذي يشرع البحث في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الترابطات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الحجاجية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الممكنة،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لأن مسوغاتها موجودة في البنية اللغوية للأقوال وليست رهينة المحتوى الخبري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للقول،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ولا رهينة لأي بنية استدلالية صناعية من خارج نظام اللغة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[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...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]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proofErr w:type="gram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لذلك</w:t>
      </w:r>
      <w:proofErr w:type="gram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فإن التداولية المدمجة تبحث في القوانين التي تحكم الخطاب داخليًّا لاكتشاف منطق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اللغة»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.</w:t>
      </w:r>
    </w:p>
    <w:p w:rsidR="00A46922" w:rsidRPr="003C164A" w:rsidRDefault="00A46922" w:rsidP="00A46922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</w:pP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    إن التداولية المدمجة تسعى لاكتشاف منطق اللغة من خلال قوانين الخطاب ،وهذا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أكثر ما يميز أعمال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>أوزوالد</w:t>
      </w:r>
      <w:proofErr w:type="spellEnd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 xml:space="preserve">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>ديكرو</w:t>
      </w:r>
      <w:proofErr w:type="spellEnd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 xml:space="preserve"> وجون كلود </w:t>
      </w:r>
      <w:proofErr w:type="spellStart"/>
      <w:r w:rsidRPr="003C164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bidi="ar-YE"/>
        </w:rPr>
        <w:t>أنسكومبر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</w:t>
      </w:r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 xml:space="preserve">فهما </w:t>
      </w:r>
      <w:proofErr w:type="spellStart"/>
      <w:r w:rsidRPr="003C164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bidi="ar-YE"/>
        </w:rPr>
        <w:t>يرفضان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: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«التصور القائم على الفصل بين الدلالة وموضوعها معنى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الجملة،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والتداولية وموضوعها استعمال الجملة في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المقام،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من جهة والسعي إلى سبر كل ما له صلة داخل بنية اللغة </w:t>
      </w:r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lastRenderedPageBreak/>
        <w:t>بالاستعمال التداولي المحتمل من جهة أخرى. فيكون مجال البحث عندهما هو الجزء التداولي المدمج في الدلالة ويكون موضوع البحث هو بيان الدلالة التداولية (لا الخبرية الوصفية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)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 xml:space="preserve"> المسجلة في أبنية اللغة وتوضيح شروط استعمالها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الممكن»</w:t>
      </w:r>
      <w:proofErr w:type="spellEnd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.</w:t>
      </w:r>
    </w:p>
    <w:p w:rsidR="00A46922" w:rsidRPr="003C164A" w:rsidRDefault="00A46922" w:rsidP="00A46922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C164A">
        <w:rPr>
          <w:rFonts w:ascii="Traditional Arabic" w:hAnsi="Traditional Arabic" w:cs="Traditional Arabic" w:hint="cs"/>
          <w:sz w:val="32"/>
          <w:szCs w:val="32"/>
          <w:rtl/>
        </w:rPr>
        <w:t xml:space="preserve">     وتقدم لنا  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أعمال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أزوالد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ديكرو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-وجون كلود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أوسكومبر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اتجا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جديدا في الدراسات اللسانيات التداولية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الحديثة،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فالفضل يعود إليها في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رفض التصور القائم على فصل الدلالة التي تبحث في المعنى والتداولية التي تعنى باستعمال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المقام،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فهما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يعتقدان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أن المسألة كلها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منوط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ة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ببنية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اللغة،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فاللغة هي الحاملة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للشق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التداولي </w:t>
      </w:r>
      <w:r w:rsidRPr="003C164A">
        <w:rPr>
          <w:rFonts w:ascii="Traditional Arabic" w:hAnsi="Traditional Arabic" w:cs="Traditional Arabic" w:hint="cs"/>
          <w:sz w:val="32"/>
          <w:szCs w:val="32"/>
          <w:rtl/>
        </w:rPr>
        <w:t>الذي يكون</w:t>
      </w:r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مدمجا في </w:t>
      </w:r>
      <w:proofErr w:type="spellStart"/>
      <w:r w:rsidRPr="003C164A">
        <w:rPr>
          <w:rFonts w:ascii="Traditional Arabic" w:hAnsi="Traditional Arabic" w:cs="Traditional Arabic"/>
          <w:sz w:val="32"/>
          <w:szCs w:val="32"/>
          <w:rtl/>
        </w:rPr>
        <w:t>الدلالة،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وبالتالي 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«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 xml:space="preserve"> يكون موضوع البحث هو بيان الدلالة التداولية المسجلة في أبنية اللغة ون\توضيح شروط استعمالها الممكن</w:t>
      </w:r>
      <w:proofErr w:type="spellStart"/>
      <w:r w:rsidRPr="003C1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bidi="ar-YE"/>
        </w:rPr>
        <w:t>»</w:t>
      </w:r>
      <w:proofErr w:type="spellEnd"/>
      <w:r w:rsidRPr="003C164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5D69" w:rsidRPr="003C164A" w:rsidRDefault="00EA5D69" w:rsidP="00A46922">
      <w:pPr>
        <w:bidi/>
        <w:rPr>
          <w:sz w:val="32"/>
          <w:szCs w:val="32"/>
        </w:rPr>
      </w:pPr>
    </w:p>
    <w:sectPr w:rsidR="00EA5D69" w:rsidRPr="003C164A" w:rsidSect="00EA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7D" w:rsidRDefault="00382A7D" w:rsidP="00A46922">
      <w:pPr>
        <w:spacing w:after="0" w:line="240" w:lineRule="auto"/>
      </w:pPr>
      <w:r>
        <w:separator/>
      </w:r>
    </w:p>
  </w:endnote>
  <w:endnote w:type="continuationSeparator" w:id="0">
    <w:p w:rsidR="00382A7D" w:rsidRDefault="00382A7D" w:rsidP="00A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7D" w:rsidRDefault="00382A7D" w:rsidP="00A46922">
      <w:pPr>
        <w:spacing w:after="0" w:line="240" w:lineRule="auto"/>
      </w:pPr>
      <w:r>
        <w:separator/>
      </w:r>
    </w:p>
  </w:footnote>
  <w:footnote w:type="continuationSeparator" w:id="0">
    <w:p w:rsidR="00382A7D" w:rsidRDefault="00382A7D" w:rsidP="00A46922">
      <w:pPr>
        <w:spacing w:after="0" w:line="240" w:lineRule="auto"/>
      </w:pPr>
      <w:r>
        <w:continuationSeparator/>
      </w:r>
    </w:p>
  </w:footnote>
  <w:footnote w:id="1">
    <w:p w:rsidR="00A46922" w:rsidRPr="00324098" w:rsidRDefault="00A46922" w:rsidP="00A46922">
      <w:pPr>
        <w:pStyle w:val="Notedebasdepage"/>
        <w:spacing w:line="360" w:lineRule="auto"/>
        <w:jc w:val="righ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أبو بكر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العزاوي،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الحجاج في اللغة،مجلة فكر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ونقد،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العدد61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.ص:2.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324098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324098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922"/>
    <w:rsid w:val="00382A7D"/>
    <w:rsid w:val="003C164A"/>
    <w:rsid w:val="00A46922"/>
    <w:rsid w:val="00EA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A469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46922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6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rahmouni</dc:creator>
  <cp:keywords/>
  <dc:description/>
  <cp:lastModifiedBy>rahmouni</cp:lastModifiedBy>
  <cp:revision>3</cp:revision>
  <dcterms:created xsi:type="dcterms:W3CDTF">2023-01-04T20:45:00Z</dcterms:created>
  <dcterms:modified xsi:type="dcterms:W3CDTF">2023-01-04T20:47:00Z</dcterms:modified>
</cp:coreProperties>
</file>