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15" w:rsidRDefault="00022415" w:rsidP="00022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نظرية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أفعال الكلام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bookmarkStart w:id="0" w:name="_GoBack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 ـ مفهوم الفعل </w:t>
      </w:r>
      <w:proofErr w:type="spellStart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يعني أن اللغة لا تستعمل فقط لتمثيل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العالم،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ولكن تستعمل بالمقابل في إنجاز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أفعال،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أي أن الإنسان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المتكلم،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وهو يستعمل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اللغة،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 ينتج كلمات دالة على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معنى،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بل يقوم بفعل ويمارس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تأثيرا،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وهذا انطلاقا من مناداة رواد المدرسة الفلسفية التحليلية (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سيرل)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بضرورة اعتماد هذا المفهوم الذي رسخه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مجموعة محاضراته التي جمعت في كتاب عنوانه 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 xml:space="preserve">How to do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thingwithwords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ويقترح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إطار نظرية أفعال الكلام نموذجا ثنائيا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التركيب،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مكونا من الأفعال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الإنجازية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Actes performatifs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والأفعال التقريرية الواصفة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Actes constatifs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يتميز النوع الأول باقتران الإنجاز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بالتلفظ،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أما النوع الثاني فهي الأفعال التي تصف حالة عالم مستقل عن التلفظ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ذاته،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ثم يجعل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الأفعال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الإنجازية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خمسة أقسام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الحكمية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Oerdictifs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التمرسية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Exercitifs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مثل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أمر،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عين،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نبه، ...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التكليف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Commissifs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مثل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أقسم،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أتمنى، ...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العرضية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Expositifs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مثل: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أنكر،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أكد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، .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السلوكيات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Comportementaux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مثل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شكر،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هنأ،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انتقد، ...</w:t>
      </w:r>
    </w:p>
    <w:p w:rsidR="00284E30" w:rsidRPr="00AC1FEA" w:rsidRDefault="00284E30" w:rsidP="006229F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ثم إن هذه الأقسام الخمسة للأفعال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الإنجازية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عند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ترتبط ارتباطا عضويا بمفهومين أساسيين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أخرين،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بعدين محور</w:t>
      </w:r>
      <w:r w:rsidR="00CE0B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ين</w:t>
      </w:r>
      <w:r w:rsidR="00CE0B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آخرين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هما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السياق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ويعني المو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قف الفعلي</w:t>
      </w:r>
      <w:r w:rsidR="006229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توظف فيه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الملفوظات،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والمتضمن بدوره لكل ما نحتاجه لفهم وتقييم ما يقال. </w:t>
      </w:r>
      <w:r w:rsidR="006229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الكفاءة </w:t>
      </w:r>
      <w:r w:rsidR="006229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 هي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حصيلة إسقاط محور الفعل على محور السياق هذا الإسقاط الذي يختلف المتكلمون في مستوياته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ودرجاته،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وبناء عليه تحدد كفاءتهم التواصلية</w:t>
      </w:r>
      <w:r w:rsidRPr="00AC1FEA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1"/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وإذا تتبعنا مهام التداولية فإنها تتلخص فيما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يلي</w:t>
      </w:r>
      <w:r w:rsidRPr="00AC1FEA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2"/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proofErr w:type="gram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ـ دراسة استعمال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اللغة،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لا تدرس البنية اللغوية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ذاتها،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لكن تدرس اللغة عند استعمالها في الطبقات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المقامية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المختلفة،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أي باعتبارها كلاما محددا صادرا من متكلم وموجها إلى مخاطب محدد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بـ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لفظ محدد في مقام تواصلي محدد لتحقيق غرض تواصلي محدد.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شرح كيفية جريان العمليات الاستدلالية في معالجة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الملفوظات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ـ بيان أسباب أفضلية التواصل غير المباشر وغير الحرفي على التواصل الحرفي المباشر.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شرح أسباب فشل المعالجة اللسانية البنيوية الصرف في معالجة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الملفوظات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وعليه فإن بعض الدارسين يعولون على التداولية في تحقيق مجموعة من الرهانات تعبر عنها الأسئلة الآتية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كيف نصف الاستدلالات في عملية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التواصل،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علما بأن الاستدلالات التداولية غير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معقلنة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وربما كانت غير مقنعة في كثير من الأحيان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ما هو نموذج التواصل الأمثل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أهو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الترميز أم الاستدلال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؟).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ما هي العلاقة بين الأنشطة الإنسانية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الآتية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اللغة والتواصل والإدراك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وما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هي العلاقة بين الفروع المعرفية المشتغلة في هذه الأنشطة (أي علم اللغة وعلم التواصل وعلم النفس المعرفي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وإذا تتبعنا امتداد مجال اللسانيات التداولية ومشاغلها فإنها تشمل دراسة المفاهيم الأساسية التالية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حكم الحديث والافتراض المسبق 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Présupposition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والتفاعل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Intéraction</w:t>
      </w:r>
      <w:proofErr w:type="spellEnd"/>
      <w:r w:rsidRPr="00AC1FEA">
        <w:rPr>
          <w:rStyle w:val="Appelnotedebasdep"/>
          <w:rFonts w:ascii="Traditional Arabic" w:hAnsi="Traditional Arabic" w:cs="Traditional Arabic"/>
          <w:sz w:val="32"/>
          <w:szCs w:val="32"/>
          <w:lang w:bidi="ar-DZ"/>
        </w:rPr>
        <w:footnoteReference w:id="3"/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 ـ حكم الحديث </w:t>
      </w:r>
      <w:proofErr w:type="spellStart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لغرايس</w:t>
      </w:r>
      <w:proofErr w:type="spellEnd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لئن كان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أوستين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وسورل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 شحذا مفهوم الاصطلاح 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Convention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يحدد ويكفل القوة الإنشائية لفعل الكلام فإن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غرايس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 اقترح مفهوما أعم يمكن أن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يشتغل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بمعزل عن فعل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الكلام،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يمكنه أن ينظم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التواصل،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أي نوعا من السلوك العقلاني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للفرد،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يؤسس مبدأ التعاون داخل التبادل التعاوني حول مقاصد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المشاركين،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وهذه المقاصد ليست في الواقع صريحة بين أطراف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التبادل،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والحال إنها عبارة عن عناصر خفية تعتمد في شكل اتفاق ضمني من قبل المتخاطبين الذين يسهرون على مجرى التواصل الحسن بموجب لعبة ذكية من الاستنتاجات.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 ـ مفهوم الافتراض المسبق </w:t>
      </w:r>
      <w:proofErr w:type="spellStart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عند كل عملية من عمليات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التبليغ،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ينطلق الأطراف (المتخاطبون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معطيات أساسية معترف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بها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ومعروفة،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وهذه الافتراضات المسبقة لا يصرح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بها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المتكلمون وهي تشكيل خلفية التبليغ 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الضرورية لنجاح العملية (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التبليغية)،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وهي محتواة في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القول،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سواء تلفظ بهذا القول إثباتا أو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نفيا،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وهكذا لو قمنا باختبار قول ما ويدعى هذا الاختبار اختبار النفي فإن الافتراض المسبق يظل صالحا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ـ أغلق النافذة.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ـ لا تغلق النافذة.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يتمثل الافتراض المسبق في كون النافذة مفتوحة.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إننا في الواقع نميز بين نوعين من الافتراضات المسبقة الدلالية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والمنطقية،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والافتراضات المسبقة التداولية.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3 ـ مبدأ </w:t>
      </w:r>
      <w:proofErr w:type="gramStart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التفاعل :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لئن ركز دعاة نظرية أفعال الكلام أبحاثهم حول شروط إنجاز الأفعال وتحليلها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وتصنيفها،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فلقد تبين بعد ذلك أنه من الضروري توسيع مجالها بحيث تشمل التفاعل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والحوار،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وهذان المفهومان الأساسيان في نظرية التبليغ أولا إضاءة فلسفية سريعة.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لقد خصص جزء هام من التفكير الفلسفي للنظر في هوية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"الأنا"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الظاهراتية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الوجودية،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وتستمد هذه الهوية أصلها ـ حسب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كانط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ـ من التفكير الذاتي لـ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"الأنا"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المتحرر من عرض الواقع 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Contingence du réel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حين يرى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هيجل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بأن الأنا يستمد هويته من علاقته الجدلية بالآخر وتستلزم هذه العلاقة الجدلية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سيرورة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تفاعلية بين الأفراد وهي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السيرورة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يتكون فيها الوعي بالذات ويتقوى بالخبرة المتبادلة.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4 ـ البنية </w:t>
      </w:r>
      <w:proofErr w:type="gramStart"/>
      <w:r w:rsidRPr="00AC1FE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الحوارية :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لقد أخذت إشكالية الحوار تستثير اهتمام الدارسين منذ ثلاثين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سنة،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وهناك عدة مدارس تعنى بهذه القضية.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لقد لاحظ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رولي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ROULET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وهو ينظر في أمثلة مستقاة من اللغة الفرنسية بأن الحوار ينبني على ثلاثة مستويات ذات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ترتيبة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قوية هي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التبادل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التدخل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الفعل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اللغوي.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هذا وبإمكان الحوار أن يتوفر على تبادل واحد أو عدة تبادلات تنهض بإنجاز وظائف ثلاثة أساسية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المبادرة،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رد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الفعل،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المبادرة/رد الفعل.</w:t>
      </w:r>
      <w:r w:rsidR="00AC1FE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قد يكون التبادل تأكيدا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(التحية،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التهنئة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إصلاحا (الاعتذار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كما يمكن أن ينبني في شكل تدخلات موجهة</w:t>
      </w:r>
      <w:r w:rsidRPr="00AC1FEA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4"/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ab/>
      </w: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أما فيما يخص موضوع اللسانيات التداولية فقد اقترحت عدة تحديدات تماشت وموضوع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البحث،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لقد استشرف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شيلينلانج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(1979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ثلاثة توجهات أساسية. أن اللسانيات التداولية هي في الوقت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عينه،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علم استخدام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الأدلة،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ولسانيات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الحوار،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ونظرية الأفعال اللغوية.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>أما موريس (1972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فإنه يرى بأن اللسانيات التداولية هي العلم الذي يعالج العلاقة بين الأدلة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ومؤوليها،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حين يرى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ريكاناتيوديلر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بأنها تخصص يدرس استخدام اللغة داخل الخطاب والسمات المميزة التي تؤسس وجهته الخطابية في صلب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اللغة،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وأخيرا فإن فان جاك يعتبرها تخصصا يتناول اللغة بوصفها ظاهرة خطابية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وتبليغية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واجتماعية في نفس الوقت.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وهناك من اللسانيين من يفضل رسم حدود لموضوع البحث بدل إعطاء تحديد قد لا يرضي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الجميع،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ويقترح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فندرليش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كتابه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lang w:bidi="ar-DZ"/>
        </w:rPr>
        <w:t>Funkkolleg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سلسلة من الأسئلة التي يجب أن تشغل بال اللساني.</w:t>
      </w:r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كيف نربط علاقة مع الأشخاص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الآخرين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بواسطة القول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كيف يسهر على بقاء علاقات موحدة سلفا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كيف يمكننا التأثير على نشاط وآراء الأشخاص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الآخرين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إلى أي مدى يمكن اعتبار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التلفظات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اللغوية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كيفيات</w:t>
      </w:r>
      <w:proofErr w:type="spell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خاصة للعمل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ما هي </w:t>
      </w:r>
      <w:proofErr w:type="gram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الشروط</w:t>
      </w:r>
      <w:proofErr w:type="gramEnd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الخليقة بجعل عمل يخفق أو ينجح </w:t>
      </w:r>
      <w:proofErr w:type="spellStart"/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>؟.</w:t>
      </w:r>
      <w:proofErr w:type="spellEnd"/>
    </w:p>
    <w:bookmarkEnd w:id="0"/>
    <w:p w:rsidR="00284E30" w:rsidRPr="00AC1FEA" w:rsidRDefault="00284E30" w:rsidP="00AC1FEA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FEA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</w:p>
    <w:p w:rsidR="009A7981" w:rsidRPr="00AC1FEA" w:rsidRDefault="009A7981" w:rsidP="00AC1FEA">
      <w:pPr>
        <w:bidi/>
        <w:rPr>
          <w:sz w:val="32"/>
          <w:szCs w:val="32"/>
          <w:lang w:bidi="ar-DZ"/>
        </w:rPr>
      </w:pPr>
    </w:p>
    <w:sectPr w:rsidR="009A7981" w:rsidRPr="00AC1FEA" w:rsidSect="00F3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14" w:rsidRDefault="008A7B14" w:rsidP="00284E30">
      <w:pPr>
        <w:spacing w:after="0" w:line="240" w:lineRule="auto"/>
      </w:pPr>
      <w:r>
        <w:separator/>
      </w:r>
    </w:p>
  </w:endnote>
  <w:endnote w:type="continuationSeparator" w:id="0">
    <w:p w:rsidR="008A7B14" w:rsidRDefault="008A7B14" w:rsidP="0028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14" w:rsidRDefault="008A7B14" w:rsidP="00274C1E">
      <w:pPr>
        <w:bidi/>
        <w:spacing w:after="0" w:line="240" w:lineRule="auto"/>
      </w:pPr>
      <w:r>
        <w:separator/>
      </w:r>
    </w:p>
  </w:footnote>
  <w:footnote w:type="continuationSeparator" w:id="0">
    <w:p w:rsidR="008A7B14" w:rsidRDefault="008A7B14" w:rsidP="00284E30">
      <w:pPr>
        <w:spacing w:after="0" w:line="240" w:lineRule="auto"/>
      </w:pPr>
      <w:r>
        <w:continuationSeparator/>
      </w:r>
    </w:p>
  </w:footnote>
  <w:footnote w:id="1">
    <w:p w:rsidR="00284E30" w:rsidRPr="0043665F" w:rsidRDefault="00284E30" w:rsidP="00284E30">
      <w:pPr>
        <w:pStyle w:val="Notedebasdepage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65F">
        <w:rPr>
          <w:rStyle w:val="Appelnotedebasdep"/>
          <w:rFonts w:ascii="Traditional Arabic" w:hAnsi="Traditional Arabic" w:cs="Traditional Arabic"/>
          <w:sz w:val="32"/>
          <w:szCs w:val="32"/>
        </w:rPr>
        <w:footnoteRef/>
      </w:r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المرجع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نفسه،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ص 30.</w:t>
      </w:r>
    </w:p>
  </w:footnote>
  <w:footnote w:id="2">
    <w:p w:rsidR="00284E30" w:rsidRPr="0043665F" w:rsidRDefault="00284E30" w:rsidP="00284E30">
      <w:pPr>
        <w:pStyle w:val="Notedebasdepage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65F">
        <w:rPr>
          <w:rStyle w:val="Appelnotedebasdep"/>
          <w:rFonts w:ascii="Traditional Arabic" w:hAnsi="Traditional Arabic" w:cs="Traditional Arabic"/>
          <w:sz w:val="32"/>
          <w:szCs w:val="32"/>
        </w:rPr>
        <w:footnoteRef/>
      </w:r>
      <w:proofErr w:type="gramStart"/>
      <w:r w:rsidRPr="0043665F">
        <w:rPr>
          <w:rFonts w:ascii="Traditional Arabic" w:hAnsi="Traditional Arabic" w:cs="Traditional Arabic"/>
          <w:sz w:val="32"/>
          <w:szCs w:val="32"/>
          <w:rtl/>
        </w:rPr>
        <w:t>مسعود</w:t>
      </w:r>
      <w:proofErr w:type="gram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صحراوي،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التداولية عند العلماء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العرب،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دراسة تداولية لظاهرة الأفعال الكلامية في التراث اللساني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العربي،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دار الطليعة للطباعة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والنشر،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بيروت،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لبنان،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الطبعة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الأولى،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ص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26،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27.</w:t>
      </w:r>
    </w:p>
  </w:footnote>
  <w:footnote w:id="3">
    <w:p w:rsidR="00284E30" w:rsidRPr="0043665F" w:rsidRDefault="00284E30" w:rsidP="00284E30">
      <w:pPr>
        <w:pStyle w:val="Notedebasdepage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65F">
        <w:rPr>
          <w:rStyle w:val="Appelnotedebasdep"/>
          <w:rFonts w:ascii="Traditional Arabic" w:hAnsi="Traditional Arabic" w:cs="Traditional Arabic"/>
          <w:sz w:val="32"/>
          <w:szCs w:val="32"/>
        </w:rPr>
        <w:footnoteRef/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الجيلالي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دلاش،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مدخل إلى اللسانيات التداولية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ص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33،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34.</w:t>
      </w:r>
    </w:p>
  </w:footnote>
  <w:footnote w:id="4">
    <w:p w:rsidR="00284E30" w:rsidRPr="0043665F" w:rsidRDefault="00284E30" w:rsidP="00284E30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65F">
        <w:rPr>
          <w:rStyle w:val="Appelnotedebasdep"/>
          <w:rFonts w:ascii="Traditional Arabic" w:hAnsi="Traditional Arabic" w:cs="Traditional Arabic"/>
          <w:sz w:val="32"/>
          <w:szCs w:val="32"/>
        </w:rPr>
        <w:footnoteRef/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الجيلالي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دلاش،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مدخل إلى اللسانيات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التداولية،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ص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35،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36،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65F">
        <w:rPr>
          <w:rFonts w:ascii="Traditional Arabic" w:hAnsi="Traditional Arabic" w:cs="Traditional Arabic"/>
          <w:sz w:val="32"/>
          <w:szCs w:val="32"/>
          <w:rtl/>
        </w:rPr>
        <w:t>38،</w:t>
      </w:r>
      <w:proofErr w:type="spellEnd"/>
      <w:r w:rsidRPr="0043665F">
        <w:rPr>
          <w:rFonts w:ascii="Traditional Arabic" w:hAnsi="Traditional Arabic" w:cs="Traditional Arabic"/>
          <w:sz w:val="32"/>
          <w:szCs w:val="32"/>
          <w:rtl/>
        </w:rPr>
        <w:t xml:space="preserve"> 40.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CA4"/>
    <w:rsid w:val="00022415"/>
    <w:rsid w:val="00180334"/>
    <w:rsid w:val="0018616C"/>
    <w:rsid w:val="00274C1E"/>
    <w:rsid w:val="00284E30"/>
    <w:rsid w:val="002B14E0"/>
    <w:rsid w:val="00342088"/>
    <w:rsid w:val="005030AB"/>
    <w:rsid w:val="006229F2"/>
    <w:rsid w:val="00661F48"/>
    <w:rsid w:val="006E1CA4"/>
    <w:rsid w:val="007C3039"/>
    <w:rsid w:val="008016A1"/>
    <w:rsid w:val="00886C38"/>
    <w:rsid w:val="008A7B14"/>
    <w:rsid w:val="009A7981"/>
    <w:rsid w:val="00AC1FEA"/>
    <w:rsid w:val="00B17A6A"/>
    <w:rsid w:val="00CC1ECE"/>
    <w:rsid w:val="00CE0B2C"/>
    <w:rsid w:val="00CF55A2"/>
    <w:rsid w:val="00E94B9F"/>
    <w:rsid w:val="00E94EEF"/>
    <w:rsid w:val="00EC618E"/>
    <w:rsid w:val="00F3345F"/>
    <w:rsid w:val="00F9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84E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4E30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284E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84E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84E30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284E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062F-89B9-4ABE-A833-C5CC6113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rahmouni</cp:lastModifiedBy>
  <cp:revision>29</cp:revision>
  <dcterms:created xsi:type="dcterms:W3CDTF">2020-03-30T17:16:00Z</dcterms:created>
  <dcterms:modified xsi:type="dcterms:W3CDTF">2023-01-04T19:51:00Z</dcterms:modified>
</cp:coreProperties>
</file>