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00A" w:rsidRDefault="0028600A" w:rsidP="0028600A">
      <w:pPr>
        <w:bidi/>
        <w:spacing w:after="0" w:line="360" w:lineRule="auto"/>
        <w:jc w:val="center"/>
        <w:rPr>
          <w:rFonts w:ascii="Sakkal Majalla" w:hAnsi="Sakkal Majalla" w:cs="Sakkal Majalla"/>
          <w:b/>
          <w:bCs/>
          <w:color w:val="000000" w:themeColor="text1"/>
          <w:sz w:val="40"/>
          <w:szCs w:val="40"/>
          <w:lang w:bidi="ar-DZ"/>
        </w:rPr>
      </w:pPr>
      <w:r>
        <w:rPr>
          <w:rFonts w:ascii="Sakkal Majalla" w:hAnsi="Sakkal Majalla" w:cs="Sakkal Majalla"/>
          <w:b/>
          <w:bCs/>
          <w:color w:val="000000" w:themeColor="text1"/>
          <w:sz w:val="40"/>
          <w:szCs w:val="40"/>
          <w:rtl/>
          <w:lang w:bidi="ar-DZ"/>
        </w:rPr>
        <w:t xml:space="preserve">المحاضرة </w:t>
      </w:r>
      <w:r>
        <w:rPr>
          <w:rFonts w:ascii="Sakkal Majalla" w:hAnsi="Sakkal Majalla" w:cs="Sakkal Majalla" w:hint="cs"/>
          <w:b/>
          <w:bCs/>
          <w:color w:val="000000" w:themeColor="text1"/>
          <w:sz w:val="40"/>
          <w:szCs w:val="40"/>
          <w:rtl/>
          <w:lang w:bidi="ar-DZ"/>
        </w:rPr>
        <w:t>الرابعة عشر: نظريات التأثير المباشر.</w:t>
      </w:r>
    </w:p>
    <w:p w:rsidR="0028600A" w:rsidRPr="00F91DD3" w:rsidRDefault="0028600A" w:rsidP="0028600A">
      <w:pPr>
        <w:bidi/>
        <w:spacing w:line="360" w:lineRule="auto"/>
        <w:jc w:val="both"/>
        <w:rPr>
          <w:rFonts w:ascii="Sakkal Majalla" w:hAnsi="Sakkal Majalla" w:cs="Sakkal Majalla"/>
          <w:b/>
          <w:bCs/>
          <w:sz w:val="28"/>
          <w:szCs w:val="28"/>
          <w:lang w:val="en-US" w:bidi="ar-DZ"/>
        </w:rPr>
      </w:pPr>
    </w:p>
    <w:p w:rsidR="0028600A" w:rsidRPr="00DE6BEC" w:rsidRDefault="0028600A" w:rsidP="0028600A">
      <w:pPr>
        <w:pStyle w:val="Paragraphedeliste"/>
        <w:numPr>
          <w:ilvl w:val="0"/>
          <w:numId w:val="2"/>
        </w:numPr>
        <w:spacing w:line="360" w:lineRule="auto"/>
        <w:jc w:val="both"/>
        <w:rPr>
          <w:rFonts w:ascii="Sakkal Majalla" w:hAnsi="Sakkal Majalla" w:cs="Sakkal Majalla"/>
          <w:b/>
          <w:bCs/>
          <w:sz w:val="32"/>
          <w:szCs w:val="32"/>
          <w:rtl/>
          <w:lang w:bidi="ar-DZ"/>
        </w:rPr>
      </w:pPr>
      <w:r w:rsidRPr="00DE6BEC">
        <w:rPr>
          <w:rFonts w:ascii="Sakkal Majalla" w:hAnsi="Sakkal Majalla" w:cs="Sakkal Majalla"/>
          <w:b/>
          <w:bCs/>
          <w:sz w:val="32"/>
          <w:szCs w:val="32"/>
          <w:rtl/>
          <w:lang w:bidi="ar-DZ"/>
        </w:rPr>
        <w:t>نظرية الحقنة تحت الجلد</w:t>
      </w:r>
      <w:r w:rsidRPr="00DE6BEC">
        <w:rPr>
          <w:rFonts w:ascii="Sakkal Majalla" w:hAnsi="Sakkal Majalla" w:cs="Sakkal Majalla" w:hint="cs"/>
          <w:b/>
          <w:bCs/>
          <w:sz w:val="32"/>
          <w:szCs w:val="32"/>
          <w:rtl/>
          <w:lang w:bidi="ar-DZ"/>
        </w:rPr>
        <w:t>.</w:t>
      </w:r>
    </w:p>
    <w:p w:rsidR="0028600A" w:rsidRPr="00DE6BEC" w:rsidRDefault="0028600A" w:rsidP="0028600A">
      <w:pPr>
        <w:bidi/>
        <w:spacing w:line="360" w:lineRule="auto"/>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إن الدراسات الأولى لوسائل الاتصال بنيت على أساس النظرية القائلة بأن تأثيرات وسائل الاتصال والإعلام على متلقي الرسالة مباشرة وقوية، وقد افترضت هذه النظرية أن تأثير وسائل الاتصال والإعلام يشبه تأثير الحقنة</w:t>
      </w:r>
      <w:r w:rsidRPr="00DE6BEC">
        <w:rPr>
          <w:rStyle w:val="Appelnotedebasdep"/>
          <w:rFonts w:ascii="Sakkal Majalla" w:hAnsi="Sakkal Majalla" w:cs="Sakkal Majalla"/>
          <w:sz w:val="32"/>
          <w:szCs w:val="32"/>
          <w:rtl/>
          <w:lang w:bidi="ar-DZ"/>
        </w:rPr>
        <w:footnoteReference w:id="2"/>
      </w:r>
      <w:r w:rsidRPr="00DE6BEC">
        <w:rPr>
          <w:rFonts w:ascii="Sakkal Majalla" w:hAnsi="Sakkal Majalla" w:cs="Sakkal Majalla"/>
          <w:sz w:val="32"/>
          <w:szCs w:val="32"/>
          <w:rtl/>
          <w:lang w:bidi="ar-DZ"/>
        </w:rPr>
        <w:t>، وتعتبر هذه النظرية من نظريات التأثير القوي لوسائل الإعلام، حيث نشأت في بيئة متأثرة بالنظريات النفسية التي تفترض وجود تأثيرات لكل فعل، أي ارتباط المنبهات بالاستجابة المباشرة</w:t>
      </w:r>
      <w:r w:rsidRPr="00DE6BEC">
        <w:rPr>
          <w:rStyle w:val="Appelnotedebasdep"/>
          <w:rFonts w:ascii="Sakkal Majalla" w:hAnsi="Sakkal Majalla" w:cs="Sakkal Majalla"/>
          <w:sz w:val="32"/>
          <w:szCs w:val="32"/>
          <w:rtl/>
          <w:lang w:bidi="ar-DZ"/>
        </w:rPr>
        <w:footnoteReference w:id="3"/>
      </w:r>
      <w:r w:rsidRPr="00DE6BEC">
        <w:rPr>
          <w:rFonts w:ascii="Sakkal Majalla" w:hAnsi="Sakkal Majalla" w:cs="Sakkal Majalla"/>
          <w:sz w:val="32"/>
          <w:szCs w:val="32"/>
          <w:rtl/>
          <w:lang w:bidi="ar-DZ"/>
        </w:rPr>
        <w:t>.</w:t>
      </w:r>
    </w:p>
    <w:p w:rsidR="0028600A" w:rsidRPr="00DE6BEC" w:rsidRDefault="0028600A" w:rsidP="0028600A">
      <w:pPr>
        <w:bidi/>
        <w:spacing w:line="360" w:lineRule="auto"/>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وقد قامت هذه النظرية على افتراض سلبية المتلقي، وأنه يمكن التأثير عليه حيث تكون استجابته فورية، فالقائم بالاتصال يمكن أن يزود المتلقي بمجموعة من الرسائل الاتصالية والإعلامية ليستجيب لها المتلقي بالطريقة التي يريدها المرسل، وبصورة مباشرة كما تفعل الحقنة والرصاصة، كما تفترض هذه النظرية أن المرسل يتحكم بشكل كلي في العملية الاتصالية لكونه هو الذي يصممها ويختار لها الوسيلة المناسبة، إضافة إلى الوقت المناسب، وتكون عملية استقبال الرسالة تجربة فردية لا جماعية، لأن الجمهور يتصف بالعزلة</w:t>
      </w:r>
      <w:r w:rsidRPr="00DE6BEC">
        <w:rPr>
          <w:rStyle w:val="Appelnotedebasdep"/>
          <w:rFonts w:ascii="Sakkal Majalla" w:hAnsi="Sakkal Majalla" w:cs="Sakkal Majalla"/>
          <w:sz w:val="32"/>
          <w:szCs w:val="32"/>
          <w:rtl/>
          <w:lang w:bidi="ar-DZ"/>
        </w:rPr>
        <w:footnoteReference w:id="4"/>
      </w:r>
      <w:r w:rsidRPr="00DE6BEC">
        <w:rPr>
          <w:rFonts w:ascii="Sakkal Majalla" w:hAnsi="Sakkal Majalla" w:cs="Sakkal Majalla"/>
          <w:sz w:val="32"/>
          <w:szCs w:val="32"/>
          <w:rtl/>
          <w:lang w:bidi="ar-DZ"/>
        </w:rPr>
        <w:t>.</w:t>
      </w:r>
    </w:p>
    <w:p w:rsidR="0028600A" w:rsidRPr="00DE6BEC" w:rsidRDefault="0028600A" w:rsidP="0028600A">
      <w:pPr>
        <w:tabs>
          <w:tab w:val="right" w:pos="708"/>
        </w:tabs>
        <w:bidi/>
        <w:spacing w:after="0" w:line="360" w:lineRule="auto"/>
        <w:ind w:left="-2" w:firstLine="285"/>
        <w:jc w:val="both"/>
        <w:rPr>
          <w:rFonts w:ascii="Sakkal Majalla" w:hAnsi="Sakkal Majalla" w:cs="Sakkal Majalla"/>
          <w:sz w:val="32"/>
          <w:szCs w:val="32"/>
          <w:lang w:bidi="ar-DZ"/>
        </w:rPr>
      </w:pPr>
      <w:r w:rsidRPr="00DE6BEC">
        <w:rPr>
          <w:rFonts w:ascii="Sakkal Majalla" w:hAnsi="Sakkal Majalla" w:cs="Sakkal Majalla"/>
          <w:sz w:val="32"/>
          <w:szCs w:val="32"/>
          <w:rtl/>
          <w:lang w:bidi="ar-DZ"/>
        </w:rPr>
        <w:t xml:space="preserve">و تعرف أيضا بـ "نظرية الرصاصة الإعلامية" أو "الحقنة تحت الجلد"،والفكرة الأساسية التي تقوم عليها هذه النظرية، هي أن الرسائل الإعلامية يتلقاها كل أفراد الجمهور بطريقة متشابهة، وأن </w:t>
      </w:r>
      <w:r w:rsidRPr="00DE6BEC">
        <w:rPr>
          <w:rFonts w:ascii="Sakkal Majalla" w:hAnsi="Sakkal Majalla" w:cs="Sakkal Majalla"/>
          <w:sz w:val="32"/>
          <w:szCs w:val="32"/>
          <w:rtl/>
          <w:lang w:bidi="ar-DZ"/>
        </w:rPr>
        <w:lastRenderedPageBreak/>
        <w:t>الاستجابات الفورية والمباشرة تأتي نتيجة التعرض لهذه المؤثرات</w:t>
      </w:r>
      <w:r w:rsidRPr="00DE6BEC">
        <w:rPr>
          <w:rStyle w:val="Appelnotedebasdep"/>
          <w:rFonts w:ascii="Sakkal Majalla" w:hAnsi="Sakkal Majalla" w:cs="Sakkal Majalla"/>
          <w:sz w:val="32"/>
          <w:szCs w:val="32"/>
          <w:rtl/>
          <w:lang w:bidi="ar-DZ"/>
        </w:rPr>
        <w:footnoteReference w:id="5"/>
      </w:r>
      <w:r w:rsidRPr="00DE6BEC">
        <w:rPr>
          <w:rFonts w:ascii="Sakkal Majalla" w:hAnsi="Sakkal Majalla" w:cs="Sakkal Majalla"/>
          <w:sz w:val="32"/>
          <w:szCs w:val="32"/>
          <w:rtl/>
          <w:lang w:bidi="ar-DZ"/>
        </w:rPr>
        <w:t>. وتنظر إلى وسائل الإعلام على أنها محقنة تحقن المتلقين بالاتجاهات والأفكار والمعتقدات، وأن هؤلاء المتلقين سلبيين لا يملكون إلا حظا ضئيلا لعدم التأثر بهذه الوسائل ورسائلها</w:t>
      </w:r>
      <w:r w:rsidRPr="00DE6BEC">
        <w:rPr>
          <w:rStyle w:val="Appelnotedebasdep"/>
          <w:rFonts w:ascii="Sakkal Majalla" w:hAnsi="Sakkal Majalla" w:cs="Sakkal Majalla"/>
          <w:sz w:val="32"/>
          <w:szCs w:val="32"/>
          <w:rtl/>
          <w:lang w:bidi="ar-DZ"/>
        </w:rPr>
        <w:footnoteReference w:id="6"/>
      </w:r>
      <w:r w:rsidRPr="00DE6BEC">
        <w:rPr>
          <w:rFonts w:ascii="Sakkal Majalla" w:hAnsi="Sakkal Majalla" w:cs="Sakkal Majalla"/>
          <w:sz w:val="32"/>
          <w:szCs w:val="32"/>
          <w:rtl/>
          <w:lang w:bidi="ar-DZ"/>
        </w:rPr>
        <w:t>.</w:t>
      </w:r>
    </w:p>
    <w:p w:rsidR="0028600A" w:rsidRPr="00DE6BEC" w:rsidRDefault="0028600A" w:rsidP="0028600A">
      <w:p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إن الأفكار التي قامت عليها هذه النظرية لم تأت من فراغ، ولكنها كانت متأثرة إلى حد كبير بالأفكار السائدة في ذلك الوقت، إذ تأثر العلماء والباحثون في تفكيرهم تجاه وسائل الاتصال بدرجة      أو بأخرى بالتصورات السائدة في عصورهم عن الطبيعة الأساسية للكائنات والمجتمعات البشرية، وهي التصورات التي اهتمت بوصف البنية العضوية للنظام الاجتماعي وسيكولوجية الفرد...، إذ أنه ومع بداية القرن العشرين ظهرت مجموعة من الاتجاهات الاجتماعية العامة لدى العديد من العلماء، أدت إلى ظهور ما يسمى بالمجتمع الجماهيري، الذي يمثل صورة المجتمع الجديد، الذي انتقل من نظام اجتماعي تقليدي مستقر إلى نظام اجتماعي أكبر معقد، ينعزل فيه الأفراد اجتماعيا عن بعضهم البعض، وتتلخص فكرة المجتمع الجماهيري حسب "</w:t>
      </w:r>
      <w:r w:rsidRPr="00DE6BEC">
        <w:rPr>
          <w:rFonts w:ascii="Sakkal Majalla" w:hAnsi="Sakkal Majalla" w:cs="Sakkal Majalla"/>
          <w:i/>
          <w:iCs/>
          <w:sz w:val="32"/>
          <w:szCs w:val="32"/>
          <w:lang w:bidi="ar-DZ"/>
        </w:rPr>
        <w:t>Broom and SelZik</w:t>
      </w:r>
      <w:r w:rsidRPr="00DE6BEC">
        <w:rPr>
          <w:rFonts w:ascii="Sakkal Majalla" w:hAnsi="Sakkal Majalla" w:cs="Sakkal Majalla"/>
          <w:sz w:val="32"/>
          <w:szCs w:val="32"/>
          <w:rtl/>
          <w:lang w:bidi="ar-DZ"/>
        </w:rPr>
        <w:t xml:space="preserve">" في الفقرة التالية: </w:t>
      </w:r>
    </w:p>
    <w:p w:rsidR="0028600A" w:rsidRPr="00DE6BEC" w:rsidRDefault="0028600A" w:rsidP="0028600A">
      <w:p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"إن المجتمع الحديث يتكون من جماهير، بمعنى أنه ظهر جمهور من الأفراد، كل فرد منفصل عن الجماعة منعزل عن الآخرين، هؤلاء الأفراد يعتمدون على بعضهم البعض في كل أنواع الوسائل المتخصصة، فضعف الروابط التقليدية ونمو العقلانية وتقسيم العمل قد أوجد مجتمعات مكونة من أفراد لا تربطهم رابطة قوية، وبهذا المعنى فإن كلمة جماهير "</w:t>
      </w:r>
      <w:r w:rsidRPr="00DE6BEC">
        <w:rPr>
          <w:rFonts w:ascii="Sakkal Majalla" w:hAnsi="Sakkal Majalla" w:cs="Sakkal Majalla"/>
          <w:i/>
          <w:iCs/>
          <w:sz w:val="32"/>
          <w:szCs w:val="32"/>
          <w:lang w:bidi="ar-DZ"/>
        </w:rPr>
        <w:t>Mass</w:t>
      </w:r>
      <w:r w:rsidRPr="00DE6BEC">
        <w:rPr>
          <w:rFonts w:ascii="Sakkal Majalla" w:hAnsi="Sakkal Majalla" w:cs="Sakkal Majalla"/>
          <w:sz w:val="32"/>
          <w:szCs w:val="32"/>
          <w:rtl/>
          <w:lang w:bidi="ar-DZ"/>
        </w:rPr>
        <w:t>" تنطوي على شيء أقرب إلى التجميع منها إلى جماعة اجتماعية مترابطة بشدة"</w:t>
      </w:r>
      <w:r w:rsidRPr="00DE6BEC">
        <w:rPr>
          <w:rStyle w:val="Appelnotedebasdep"/>
          <w:rFonts w:ascii="Sakkal Majalla" w:hAnsi="Sakkal Majalla" w:cs="Sakkal Majalla"/>
          <w:sz w:val="32"/>
          <w:szCs w:val="32"/>
          <w:rtl/>
          <w:lang w:bidi="ar-DZ"/>
        </w:rPr>
        <w:footnoteReference w:id="7"/>
      </w:r>
      <w:r w:rsidRPr="00DE6BEC">
        <w:rPr>
          <w:rFonts w:ascii="Sakkal Majalla" w:hAnsi="Sakkal Majalla" w:cs="Sakkal Majalla"/>
          <w:sz w:val="32"/>
          <w:szCs w:val="32"/>
          <w:rtl/>
          <w:lang w:bidi="ar-DZ"/>
        </w:rPr>
        <w:t>.</w:t>
      </w:r>
    </w:p>
    <w:p w:rsidR="0028600A" w:rsidRPr="00DE6BEC" w:rsidRDefault="0028600A" w:rsidP="0028600A">
      <w:p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lastRenderedPageBreak/>
        <w:t>و قد اقترنت مع هذه النظرة إلى الطبيعة الاجتماعية للمجتمع الحديث، نظرة أخرى قد تطورت في علم النفس حول الطبيعة السيكولوجية للكائنات البشرية، فقد اعتقد علماء النفس آنذاك أن السلوك الإنساني هو نتاج موهبة موروثة، وهذا يعني أن أسباب وطبيعة السلوك البشري ينبغي البحث عنها في البناء البيولوجي... وأن الطبيعة البشرية الأساسية متماثلة عند جميع الأفراد، مما أدى إلى الاعتقاد بأن السلوك الفردي يخضع إلى حد كبير للميكانيزمات البيولوجية المتوارثة المعقدة، التي تقع بين المثيرات وبين الاستجابات (</w:t>
      </w:r>
      <w:r w:rsidRPr="00DE6BEC">
        <w:rPr>
          <w:rFonts w:ascii="Sakkal Majalla" w:hAnsi="Sakkal Majalla" w:cs="Sakkal Majalla"/>
          <w:i/>
          <w:iCs/>
          <w:sz w:val="32"/>
          <w:szCs w:val="32"/>
          <w:lang w:bidi="ar-DZ"/>
        </w:rPr>
        <w:t>Stimilis</w:t>
      </w:r>
      <w:r w:rsidRPr="00DE6BEC">
        <w:rPr>
          <w:rFonts w:ascii="Sakkal Majalla" w:hAnsi="Sakkal Majalla" w:cs="Sakkal Majalla"/>
          <w:sz w:val="32"/>
          <w:szCs w:val="32"/>
          <w:lang w:bidi="ar-DZ"/>
        </w:rPr>
        <w:t xml:space="preserve"> / </w:t>
      </w:r>
      <w:r w:rsidRPr="00DE6BEC">
        <w:rPr>
          <w:rFonts w:ascii="Sakkal Majalla" w:hAnsi="Sakkal Majalla" w:cs="Sakkal Majalla"/>
          <w:i/>
          <w:iCs/>
          <w:sz w:val="32"/>
          <w:szCs w:val="32"/>
          <w:lang w:bidi="ar-DZ"/>
        </w:rPr>
        <w:t>responses</w:t>
      </w:r>
      <w:r w:rsidRPr="00DE6BEC">
        <w:rPr>
          <w:rFonts w:ascii="Sakkal Majalla" w:hAnsi="Sakkal Majalla" w:cs="Sakkal Majalla"/>
          <w:sz w:val="32"/>
          <w:szCs w:val="32"/>
          <w:rtl/>
          <w:lang w:bidi="ar-DZ"/>
        </w:rPr>
        <w:t>)</w:t>
      </w:r>
      <w:r w:rsidRPr="00DE6BEC">
        <w:rPr>
          <w:rStyle w:val="Appelnotedebasdep"/>
          <w:rFonts w:ascii="Sakkal Majalla" w:hAnsi="Sakkal Majalla" w:cs="Sakkal Majalla"/>
          <w:sz w:val="32"/>
          <w:szCs w:val="32"/>
          <w:rtl/>
          <w:lang w:bidi="ar-DZ"/>
        </w:rPr>
        <w:footnoteReference w:id="8"/>
      </w:r>
      <w:r w:rsidRPr="00DE6BEC">
        <w:rPr>
          <w:rFonts w:ascii="Sakkal Majalla" w:hAnsi="Sakkal Majalla" w:cs="Sakkal Majalla"/>
          <w:sz w:val="32"/>
          <w:szCs w:val="32"/>
          <w:rtl/>
          <w:lang w:bidi="ar-DZ"/>
        </w:rPr>
        <w:t>.</w:t>
      </w:r>
    </w:p>
    <w:p w:rsidR="0028600A" w:rsidRPr="00DE6BEC" w:rsidRDefault="0028600A" w:rsidP="0028600A">
      <w:p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إن الدراسات الأولى التي قامت عليها هذه النظرية استشهدت بالحادثة التي حدثت عام 1939م، حينما انتاب الهلع بعض سكان الولايات المتحدة الأمريكية عندما اعتقدوا أن هناك غزوا قادما من المريخ، فتدافعوا بالآلاف إلى الشوارع، وكان السبب في ذلك أنهم كانوا يستمعون إلى تمثيلية في الإذاعة باسم "حرب الكواكب"، ولا شكّ أن هناك عوامل فنية وأخرى نفسية أسهمت في صنع حالة الهلع التي تعرض لها سكان نيويورك إثر استماعهم إلى ذلك البرنامج الإذاعي، فالمؤثرات الصوتية التي استخدمت في حالة الإحباط التي سببها الكساد الاقتصادي الكبير الذي سبق الحرب العالمية الثانية، إضافة إلى نذر الحرب التي بدأت تدق طبولها أجهزة الدعاية في برلين ،كل تلك العوامل أسهمت في خلق حالة نفسية من التوجس والترقب، ومن ثمّ قابلية التأثر بعمل مثل هذا</w:t>
      </w:r>
      <w:r w:rsidRPr="00DE6BEC">
        <w:rPr>
          <w:rStyle w:val="Appelnotedebasdep"/>
          <w:rFonts w:ascii="Sakkal Majalla" w:hAnsi="Sakkal Majalla" w:cs="Sakkal Majalla"/>
          <w:sz w:val="32"/>
          <w:szCs w:val="32"/>
          <w:rtl/>
          <w:lang w:bidi="ar-DZ"/>
        </w:rPr>
        <w:footnoteReference w:id="9"/>
      </w:r>
      <w:r w:rsidRPr="00DE6BEC">
        <w:rPr>
          <w:rFonts w:ascii="Sakkal Majalla" w:hAnsi="Sakkal Majalla" w:cs="Sakkal Majalla"/>
          <w:sz w:val="32"/>
          <w:szCs w:val="32"/>
          <w:rtl/>
          <w:lang w:bidi="ar-DZ"/>
        </w:rPr>
        <w:t>.</w:t>
      </w:r>
    </w:p>
    <w:p w:rsidR="0028600A" w:rsidRPr="00DE6BEC" w:rsidRDefault="0028600A" w:rsidP="0028600A">
      <w:p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فضلا عن ذلك، كان هناك مثال واضح للدعاية خلال الحرب العالمية الثانية، ويبدو أن هذه الدعاية كانت تقدم الدليل الصحيح على أن وسائل الإعلام كانت قوية على النحو نفسه الذي وصفها به "لازويل" وصفا دراميا عندما استنتج أنها كانت "المطرقة الجديدة وسندان الترابط الاجتماعي"</w:t>
      </w:r>
      <w:r w:rsidRPr="00DE6BEC">
        <w:rPr>
          <w:rStyle w:val="Appelnotedebasdep"/>
          <w:rFonts w:ascii="Sakkal Majalla" w:hAnsi="Sakkal Majalla" w:cs="Sakkal Majalla"/>
          <w:sz w:val="32"/>
          <w:szCs w:val="32"/>
          <w:rtl/>
          <w:lang w:bidi="ar-DZ"/>
        </w:rPr>
        <w:footnoteReference w:id="10"/>
      </w:r>
      <w:r w:rsidRPr="00DE6BEC">
        <w:rPr>
          <w:rFonts w:ascii="Sakkal Majalla" w:hAnsi="Sakkal Majalla" w:cs="Sakkal Majalla"/>
          <w:sz w:val="32"/>
          <w:szCs w:val="32"/>
          <w:rtl/>
          <w:lang w:bidi="ar-DZ"/>
        </w:rPr>
        <w:t xml:space="preserve">، وذلك حين حاول تحليل تأثير الدعاية أثناء الحرب ودور وسائل الإعلام في المجتمع الجماهيري، لينتهي إلى أن الدعاية هي أقوى الوسائل في العصر الحديث ؛ إذ أنه إذا كانت القبائل </w:t>
      </w:r>
      <w:r w:rsidRPr="00DE6BEC">
        <w:rPr>
          <w:rFonts w:ascii="Sakkal Majalla" w:hAnsi="Sakkal Majalla" w:cs="Sakkal Majalla"/>
          <w:sz w:val="32"/>
          <w:szCs w:val="32"/>
          <w:rtl/>
          <w:lang w:bidi="ar-DZ"/>
        </w:rPr>
        <w:lastRenderedPageBreak/>
        <w:t xml:space="preserve">البدائية المصغرة تستطيع أن تدمج أفرادها الذين يتسمون بالتجانس مع القبيلة في كيان واحد محارب عن طريق قرع الطبول، فإنه في المجتمعات الكبيرة لم يعد من الممكن توحيد الجميع بما فيهم من متمردين وعصاة في أتون الحرب، لينتهي إلى القول بأن هناك أداة جديدة لا بدّ وأن تحرق آفة الانشقاق وتزيد من صلابة الحماس المولع بالقتال، وتجعل الملايين من البشر كتلة واحدة مندمجة من الكراهية والإرادة، وأن اسم هذه الأداة الجديدة هي "الدعاية". </w:t>
      </w:r>
    </w:p>
    <w:p w:rsidR="0028600A" w:rsidRPr="00DE6BEC" w:rsidRDefault="0028600A" w:rsidP="0028600A">
      <w:p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لقد عبّر "ولبور شرام" عن تصوره آنذاك، عن تأثير وسائل الإعلام بقوله :" إنه كان ينظر إلى الإعلام على أنه رصاص سحري ينقل الأفكار والمشاعر من عقل إلى آخر، وكان ينظر إلى الجمهور على أنه سلبي لا يستطيع الدفاع عن نفسه"</w:t>
      </w:r>
      <w:r w:rsidRPr="00DE6BEC">
        <w:rPr>
          <w:rStyle w:val="Appelnotedebasdep"/>
          <w:rFonts w:ascii="Sakkal Majalla" w:hAnsi="Sakkal Majalla" w:cs="Sakkal Majalla"/>
          <w:sz w:val="32"/>
          <w:szCs w:val="32"/>
          <w:rtl/>
          <w:lang w:bidi="ar-DZ"/>
        </w:rPr>
        <w:footnoteReference w:id="11"/>
      </w:r>
      <w:r w:rsidRPr="00DE6BEC">
        <w:rPr>
          <w:rFonts w:ascii="Sakkal Majalla" w:hAnsi="Sakkal Majalla" w:cs="Sakkal Majalla"/>
          <w:sz w:val="32"/>
          <w:szCs w:val="32"/>
          <w:rtl/>
          <w:lang w:bidi="ar-DZ"/>
        </w:rPr>
        <w:t>.</w:t>
      </w:r>
    </w:p>
    <w:p w:rsidR="0028600A" w:rsidRPr="00DE6BEC" w:rsidRDefault="0028600A" w:rsidP="0028600A">
      <w:p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و يمكن أن نوجز أهم الاقتراحات التي  قامت عليها هذه النظرية فيما يلي :</w:t>
      </w:r>
    </w:p>
    <w:p w:rsidR="0028600A" w:rsidRPr="00DE6BEC" w:rsidRDefault="0028600A" w:rsidP="0028600A">
      <w:pPr>
        <w:numPr>
          <w:ilvl w:val="0"/>
          <w:numId w:val="1"/>
        </w:num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إن وسائل الإعلام تقدم رسائلها إلى الأغنياء في المجتمع الجماهيري، الذين يدركون تلك الرسائل بشكل متقارب.</w:t>
      </w:r>
    </w:p>
    <w:p w:rsidR="0028600A" w:rsidRPr="00DE6BEC" w:rsidRDefault="0028600A" w:rsidP="0028600A">
      <w:pPr>
        <w:numPr>
          <w:ilvl w:val="0"/>
          <w:numId w:val="1"/>
        </w:num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إن هذه الرسائل تقدم مؤثرات أو منبهات تؤثر في مشاعر وعواطف الأفراد تأثيرا فعالا.</w:t>
      </w:r>
    </w:p>
    <w:p w:rsidR="0028600A" w:rsidRPr="00DE6BEC" w:rsidRDefault="0028600A" w:rsidP="0028600A">
      <w:pPr>
        <w:numPr>
          <w:ilvl w:val="0"/>
          <w:numId w:val="1"/>
        </w:num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إن هذه الوسائل تدفع الأفراد إلى الاستجابة بشكل مباشر ومتماثل إلى حد ما، وتخلق تغييرات في التفكير والأفعال – بشكل متماثل – عند كل الأفراد.</w:t>
      </w:r>
    </w:p>
    <w:p w:rsidR="0028600A" w:rsidRPr="00DE6BEC" w:rsidRDefault="0028600A" w:rsidP="0028600A">
      <w:pPr>
        <w:numPr>
          <w:ilvl w:val="0"/>
          <w:numId w:val="1"/>
        </w:numPr>
        <w:tabs>
          <w:tab w:val="right" w:pos="708"/>
        </w:tabs>
        <w:bidi/>
        <w:spacing w:after="0" w:line="360" w:lineRule="auto"/>
        <w:ind w:left="-2" w:firstLine="285"/>
        <w:jc w:val="both"/>
        <w:rPr>
          <w:rFonts w:ascii="Sakkal Majalla" w:hAnsi="Sakkal Majalla" w:cs="Sakkal Majalla"/>
          <w:sz w:val="32"/>
          <w:szCs w:val="32"/>
          <w:lang w:bidi="ar-DZ"/>
        </w:rPr>
      </w:pPr>
      <w:r w:rsidRPr="00DE6BEC">
        <w:rPr>
          <w:rFonts w:ascii="Sakkal Majalla" w:hAnsi="Sakkal Majalla" w:cs="Sakkal Majalla"/>
          <w:sz w:val="32"/>
          <w:szCs w:val="32"/>
          <w:rtl/>
          <w:lang w:bidi="ar-DZ"/>
        </w:rPr>
        <w:t>تأثيرات وسائل الإعلام قوية ومماثلة ومباشرة، ويرجع ذلك إلى ضعف في وسائل الضبط الاجتماعي مثل العادات والتقاليد المشتركة.</w:t>
      </w:r>
    </w:p>
    <w:p w:rsidR="0028600A" w:rsidRPr="00DE6BEC" w:rsidRDefault="0028600A" w:rsidP="0028600A">
      <w:pPr>
        <w:numPr>
          <w:ilvl w:val="0"/>
          <w:numId w:val="1"/>
        </w:num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إن الفرد يتلقى معلومات بشكل فردي من وسائل الإعلام ودون وسيط.</w:t>
      </w:r>
    </w:p>
    <w:p w:rsidR="0028600A" w:rsidRPr="00DE6BEC" w:rsidRDefault="0028600A" w:rsidP="0028600A">
      <w:pPr>
        <w:numPr>
          <w:ilvl w:val="0"/>
          <w:numId w:val="1"/>
        </w:num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إن رد الفعل فردي لا يعتمد على تأثير المتلقين في بضعهم</w:t>
      </w:r>
      <w:r w:rsidRPr="00DE6BEC">
        <w:rPr>
          <w:rStyle w:val="Appelnotedebasdep"/>
          <w:rFonts w:ascii="Sakkal Majalla" w:hAnsi="Sakkal Majalla" w:cs="Sakkal Majalla"/>
          <w:sz w:val="32"/>
          <w:szCs w:val="32"/>
          <w:rtl/>
          <w:lang w:bidi="ar-DZ"/>
        </w:rPr>
        <w:footnoteReference w:id="12"/>
      </w:r>
      <w:r w:rsidRPr="00DE6BEC">
        <w:rPr>
          <w:rFonts w:ascii="Sakkal Majalla" w:hAnsi="Sakkal Majalla" w:cs="Sakkal Majalla"/>
          <w:sz w:val="32"/>
          <w:szCs w:val="32"/>
          <w:rtl/>
          <w:lang w:bidi="ar-DZ"/>
        </w:rPr>
        <w:t>.</w:t>
      </w:r>
    </w:p>
    <w:p w:rsidR="0028600A" w:rsidRPr="00DE6BEC" w:rsidRDefault="0028600A" w:rsidP="0028600A">
      <w:p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lastRenderedPageBreak/>
        <w:t>إن الاعتماد على نظرية الرصاصة الإعلامية في تفسير علاقة الإنسان بوسائل الإعلام فيه الكثير من التبسيط للطبيعة الإنسانية، والكيفية التي تعمل من خلالها النفس البشرية، إن القول بالتأثير المباشر الآلي لوسائل الإعلام على الجمهور لم يلق القبول لدى قطاع عريض من المهتمين بحقل الاتصال الجماهيري، لأن الإنسان ليس كائنا سلبيا يتأثر بكل ما يصادفه بمعزل عن تركيبته النفسية وبيئته الاجتماعية وخبراته السابقة</w:t>
      </w:r>
      <w:r w:rsidRPr="00DE6BEC">
        <w:rPr>
          <w:rStyle w:val="Appelnotedebasdep"/>
          <w:rFonts w:ascii="Sakkal Majalla" w:hAnsi="Sakkal Majalla" w:cs="Sakkal Majalla"/>
          <w:sz w:val="32"/>
          <w:szCs w:val="32"/>
          <w:rtl/>
          <w:lang w:bidi="ar-DZ"/>
        </w:rPr>
        <w:footnoteReference w:id="13"/>
      </w:r>
      <w:r w:rsidRPr="00DE6BEC">
        <w:rPr>
          <w:rFonts w:ascii="Sakkal Majalla" w:hAnsi="Sakkal Majalla" w:cs="Sakkal Majalla"/>
          <w:sz w:val="32"/>
          <w:szCs w:val="32"/>
          <w:rtl/>
          <w:lang w:bidi="ar-DZ"/>
        </w:rPr>
        <w:t>.</w:t>
      </w:r>
    </w:p>
    <w:p w:rsidR="0028600A" w:rsidRPr="00DE6BEC" w:rsidRDefault="0028600A" w:rsidP="0028600A">
      <w:pPr>
        <w:tabs>
          <w:tab w:val="right" w:pos="708"/>
        </w:tabs>
        <w:bidi/>
        <w:spacing w:after="0" w:line="360" w:lineRule="auto"/>
        <w:ind w:left="-2" w:firstLine="285"/>
        <w:jc w:val="both"/>
        <w:rPr>
          <w:rFonts w:ascii="Sakkal Majalla" w:hAnsi="Sakkal Majalla" w:cs="Sakkal Majalla"/>
          <w:sz w:val="32"/>
          <w:szCs w:val="32"/>
          <w:rtl/>
          <w:lang w:bidi="ar-DZ"/>
        </w:rPr>
      </w:pPr>
      <w:r w:rsidRPr="00DE6BEC">
        <w:rPr>
          <w:rFonts w:ascii="Sakkal Majalla" w:hAnsi="Sakkal Majalla" w:cs="Sakkal Majalla"/>
          <w:sz w:val="32"/>
          <w:szCs w:val="32"/>
          <w:rtl/>
          <w:lang w:bidi="ar-DZ"/>
        </w:rPr>
        <w:t>إن عملية الاتصال عملية معقدة وهي تخضع لمجموعة من العوامل المتعددة التي تتحكم في فعالية الرسالة الإعلامية، فليست كل رسالة يمكنها أن تكون مؤثرة ناجحة، وإذا كانت بعض الرسائل من بعض القائمين بالاتصال ذوي الشخصية الكرزمية قادرة على التأثير في الجمهور، إلا أن ذلك لا يحصل مع كل الرسائل الإعلامية</w:t>
      </w:r>
      <w:r w:rsidRPr="00DE6BEC">
        <w:rPr>
          <w:rStyle w:val="Appelnotedebasdep"/>
          <w:rFonts w:ascii="Sakkal Majalla" w:hAnsi="Sakkal Majalla" w:cs="Sakkal Majalla"/>
          <w:sz w:val="32"/>
          <w:szCs w:val="32"/>
          <w:rtl/>
          <w:lang w:bidi="ar-DZ"/>
        </w:rPr>
        <w:footnoteReference w:id="14"/>
      </w:r>
      <w:r w:rsidRPr="00DE6BEC">
        <w:rPr>
          <w:rFonts w:ascii="Sakkal Majalla" w:hAnsi="Sakkal Majalla" w:cs="Sakkal Majalla"/>
          <w:sz w:val="32"/>
          <w:szCs w:val="32"/>
          <w:rtl/>
          <w:lang w:bidi="ar-DZ"/>
        </w:rPr>
        <w:t>.</w:t>
      </w:r>
    </w:p>
    <w:p w:rsidR="0028600A" w:rsidRDefault="0028600A" w:rsidP="0028600A">
      <w:pPr>
        <w:tabs>
          <w:tab w:val="right" w:pos="708"/>
        </w:tabs>
        <w:bidi/>
        <w:spacing w:after="0" w:line="360" w:lineRule="auto"/>
        <w:ind w:left="-2" w:firstLine="285"/>
        <w:jc w:val="both"/>
        <w:rPr>
          <w:rFonts w:ascii="Sakkal Majalla" w:hAnsi="Sakkal Majalla" w:cs="Sakkal Majalla"/>
          <w:sz w:val="32"/>
          <w:szCs w:val="32"/>
          <w:lang w:bidi="ar-DZ"/>
        </w:rPr>
      </w:pPr>
      <w:r w:rsidRPr="00DE6BEC">
        <w:rPr>
          <w:rFonts w:ascii="Sakkal Majalla" w:hAnsi="Sakkal Majalla" w:cs="Sakkal Majalla"/>
          <w:sz w:val="32"/>
          <w:szCs w:val="32"/>
          <w:rtl/>
          <w:lang w:bidi="ar-DZ"/>
        </w:rPr>
        <w:t xml:space="preserve">إنّ ما ساهم في إسقاط نظرية الرصاصة الإعلامية والتخلي عن الفكرة التي تفيد بأن تعريض الفرد لوسائل الاتصال الجماهيري له آثار فورية ومتماثلة، بل ومباشرة على الجمهور، هو بداية الأبحاث التجريبية الشاملة على عملية الاتصال الجماهيري وآثارها، وقد كشفت النتائج المستخلصة من هذه الأبحاث عن صورة تتعارض مع نظرية المقذوف أو الطلقة السحرية...، كما توصل علماء النفس وعلماء الاجتماع إلى استنتاجات جديدة هامة تتعلق بالأفراد والإسهامات الاجتماعية للكائنات البشرية، وقد نشأت هذه الاستنتاجات من إعادة النظر الجذرية للنظرية الأساسية الخاصة بكل من المصادر والسمات ذات الطبيعة البشرية، وقد كان لهذه الأفكار والنماذج الجديدة مضامبن واضحة، تساعد على فهم آثار وسائل الاتصال، وكانت كلها متعارضة تماما مع النظريات الأساسية التي اشتقت منها نظرية القذيفة السحرية ... هذا مما جعل من الضروري إعادة </w:t>
      </w:r>
      <w:r w:rsidRPr="00DE6BEC">
        <w:rPr>
          <w:rFonts w:ascii="Sakkal Majalla" w:hAnsi="Sakkal Majalla" w:cs="Sakkal Majalla"/>
          <w:sz w:val="32"/>
          <w:szCs w:val="32"/>
          <w:rtl/>
          <w:lang w:bidi="ar-DZ"/>
        </w:rPr>
        <w:lastRenderedPageBreak/>
        <w:t>صياغة الأفكار المتصلة بالأفراد والآثار الاجتماعية لوسائل الإعلام</w:t>
      </w:r>
      <w:r w:rsidRPr="00DE6BEC">
        <w:rPr>
          <w:rStyle w:val="Appelnotedebasdep"/>
          <w:rFonts w:ascii="Sakkal Majalla" w:hAnsi="Sakkal Majalla" w:cs="Sakkal Majalla"/>
          <w:sz w:val="32"/>
          <w:szCs w:val="32"/>
          <w:rtl/>
          <w:lang w:bidi="ar-DZ"/>
        </w:rPr>
        <w:footnoteReference w:id="15"/>
      </w:r>
      <w:r w:rsidRPr="00DE6BEC">
        <w:rPr>
          <w:rFonts w:ascii="Sakkal Majalla" w:hAnsi="Sakkal Majalla" w:cs="Sakkal Majalla"/>
          <w:sz w:val="32"/>
          <w:szCs w:val="32"/>
          <w:rtl/>
          <w:lang w:bidi="ar-DZ"/>
        </w:rPr>
        <w:t>، الشيء الذي أدى إلى إيجاد مجموعة من التفسيرات الجديدة والتي جمعت تحت اسم "نظريات التأثير الاختياري    أو المحدود"، وهي تتكون من ثلاث صيغ متميزة ومتصلة نشأت من تعرف علماء الاجتماع على نماذج سلوك الأفراد والمجموعات، وعندما استخدمت هذه النماذج في فهم كيفية اهتمام الناس وتأثرهم بوسائل الإعلام، تم تسميتها "نظرية الفروق الفردية"، نظرية "الفئات الاجتماعية" ونظرية "العلاقات الاجتماعية"، وتقوم كل تسمية على فروض أساسية -كما سيتضح- تتعلق بسلوك الإنسان المتطور نتيجة العلوم الاجتماعية</w:t>
      </w:r>
      <w:r w:rsidRPr="00DE6BEC">
        <w:rPr>
          <w:rStyle w:val="Appelnotedebasdep"/>
          <w:rFonts w:ascii="Sakkal Majalla" w:hAnsi="Sakkal Majalla" w:cs="Sakkal Majalla"/>
          <w:sz w:val="32"/>
          <w:szCs w:val="32"/>
          <w:rtl/>
          <w:lang w:bidi="ar-DZ"/>
        </w:rPr>
        <w:footnoteReference w:id="16"/>
      </w:r>
      <w:r w:rsidRPr="00DE6BEC">
        <w:rPr>
          <w:rFonts w:ascii="Sakkal Majalla" w:hAnsi="Sakkal Majalla" w:cs="Sakkal Majalla"/>
          <w:sz w:val="32"/>
          <w:szCs w:val="32"/>
          <w:rtl/>
          <w:lang w:bidi="ar-DZ"/>
        </w:rPr>
        <w:t>.</w:t>
      </w: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Default="00955879" w:rsidP="00955879">
      <w:pPr>
        <w:tabs>
          <w:tab w:val="right" w:pos="708"/>
        </w:tabs>
        <w:bidi/>
        <w:spacing w:after="0" w:line="360" w:lineRule="auto"/>
        <w:ind w:left="-2" w:firstLine="285"/>
        <w:jc w:val="both"/>
        <w:rPr>
          <w:rFonts w:ascii="Sakkal Majalla" w:hAnsi="Sakkal Majalla" w:cs="Sakkal Majalla"/>
          <w:sz w:val="32"/>
          <w:szCs w:val="32"/>
          <w:lang w:bidi="ar-DZ"/>
        </w:rPr>
      </w:pPr>
    </w:p>
    <w:p w:rsidR="00955879" w:rsidRPr="008863F8" w:rsidRDefault="00955879" w:rsidP="00955879">
      <w:pPr>
        <w:bidi/>
        <w:spacing w:after="0" w:line="360" w:lineRule="auto"/>
        <w:jc w:val="center"/>
        <w:rPr>
          <w:rFonts w:ascii="Sakkal Majalla" w:hAnsi="Sakkal Majalla" w:cs="Sakkal Majalla"/>
          <w:b/>
          <w:bCs/>
          <w:color w:val="000000" w:themeColor="text1"/>
          <w:sz w:val="40"/>
          <w:szCs w:val="40"/>
          <w:rtl/>
          <w:lang w:bidi="ar-DZ"/>
        </w:rPr>
      </w:pPr>
      <w:r w:rsidRPr="008863F8">
        <w:rPr>
          <w:rFonts w:ascii="Sakkal Majalla" w:hAnsi="Sakkal Majalla" w:cs="Sakkal Majalla" w:hint="cs"/>
          <w:b/>
          <w:bCs/>
          <w:color w:val="000000" w:themeColor="text1"/>
          <w:sz w:val="40"/>
          <w:szCs w:val="40"/>
          <w:rtl/>
          <w:lang w:bidi="ar-DZ"/>
        </w:rPr>
        <w:lastRenderedPageBreak/>
        <w:t xml:space="preserve">المحاضرة </w:t>
      </w:r>
      <w:r>
        <w:rPr>
          <w:rFonts w:ascii="Sakkal Majalla" w:hAnsi="Sakkal Majalla" w:cs="Sakkal Majalla" w:hint="cs"/>
          <w:b/>
          <w:bCs/>
          <w:color w:val="000000" w:themeColor="text1"/>
          <w:sz w:val="40"/>
          <w:szCs w:val="40"/>
          <w:rtl/>
          <w:lang w:bidi="ar-DZ"/>
        </w:rPr>
        <w:t>الخامسة عشر:</w:t>
      </w:r>
      <w:r w:rsidRPr="008863F8">
        <w:rPr>
          <w:rFonts w:ascii="Sakkal Majalla" w:hAnsi="Sakkal Majalla" w:cs="Sakkal Majalla" w:hint="cs"/>
          <w:b/>
          <w:bCs/>
          <w:color w:val="000000" w:themeColor="text1"/>
          <w:sz w:val="40"/>
          <w:szCs w:val="40"/>
          <w:rtl/>
          <w:lang w:bidi="ar-DZ"/>
        </w:rPr>
        <w:t xml:space="preserve"> </w:t>
      </w:r>
      <w:r w:rsidRPr="008863F8">
        <w:rPr>
          <w:rFonts w:ascii="Sakkal Majalla" w:hAnsi="Sakkal Majalla" w:cs="Sakkal Majalla"/>
          <w:b/>
          <w:bCs/>
          <w:color w:val="000000" w:themeColor="text1"/>
          <w:sz w:val="40"/>
          <w:szCs w:val="40"/>
          <w:rtl/>
          <w:lang w:bidi="ar-DZ"/>
        </w:rPr>
        <w:t xml:space="preserve"> </w:t>
      </w:r>
      <w:r>
        <w:rPr>
          <w:rFonts w:ascii="Sakkal Majalla" w:hAnsi="Sakkal Majalla" w:cs="Sakkal Majalla" w:hint="cs"/>
          <w:b/>
          <w:bCs/>
          <w:color w:val="000000" w:themeColor="text1"/>
          <w:sz w:val="40"/>
          <w:szCs w:val="40"/>
          <w:rtl/>
          <w:lang w:bidi="ar-DZ"/>
        </w:rPr>
        <w:t>نظريات التأثير المعتدل.</w:t>
      </w:r>
    </w:p>
    <w:p w:rsidR="00955879" w:rsidRPr="00354DA4" w:rsidRDefault="00955879" w:rsidP="00955879">
      <w:pPr>
        <w:pStyle w:val="Paragraphedeliste"/>
        <w:numPr>
          <w:ilvl w:val="0"/>
          <w:numId w:val="4"/>
        </w:numPr>
        <w:spacing w:after="200" w:line="360" w:lineRule="auto"/>
        <w:jc w:val="both"/>
        <w:rPr>
          <w:rFonts w:ascii="Sakkal Majalla" w:hAnsi="Sakkal Majalla" w:cs="Sakkal Majalla"/>
          <w:b/>
          <w:bCs/>
          <w:sz w:val="32"/>
          <w:szCs w:val="32"/>
          <w:lang w:bidi="ar-DZ"/>
        </w:rPr>
      </w:pPr>
      <w:r w:rsidRPr="00354DA4">
        <w:rPr>
          <w:rFonts w:ascii="Sakkal Majalla" w:hAnsi="Sakkal Majalla" w:cs="Sakkal Majalla"/>
          <w:b/>
          <w:bCs/>
          <w:sz w:val="32"/>
          <w:szCs w:val="32"/>
          <w:rtl/>
          <w:lang w:bidi="ar-DZ"/>
        </w:rPr>
        <w:t>نظرية ترتيب الأولويات :</w:t>
      </w:r>
    </w:p>
    <w:p w:rsidR="00955879" w:rsidRPr="00354DA4" w:rsidRDefault="00955879" w:rsidP="00955879">
      <w:pPr>
        <w:bidi/>
        <w:spacing w:line="360" w:lineRule="auto"/>
        <w:jc w:val="both"/>
        <w:rPr>
          <w:rFonts w:ascii="Sakkal Majalla" w:hAnsi="Sakkal Majalla" w:cs="Sakkal Majalla"/>
          <w:b/>
          <w:bCs/>
          <w:sz w:val="32"/>
          <w:szCs w:val="32"/>
          <w:rtl/>
          <w:lang w:bidi="ar-DZ"/>
        </w:rPr>
      </w:pPr>
      <w:r w:rsidRPr="00354DA4">
        <w:rPr>
          <w:rFonts w:ascii="Sakkal Majalla" w:hAnsi="Sakkal Majalla" w:cs="Sakkal Majalla"/>
          <w:b/>
          <w:bCs/>
          <w:sz w:val="32"/>
          <w:szCs w:val="32"/>
          <w:rtl/>
          <w:lang w:bidi="ar-DZ"/>
        </w:rPr>
        <w:t>1/ التعريف بالنظرية:</w:t>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انُ مسألة  مفهوم النظرية هو التساؤل حول طبيعة التفسير العلمي، حتى تصبح ممارسة عملية دقيقة بعيدة عن العشوائية، حيث يعتبر البحث العلمي في غياب النظرية بحثا أعمى، يعتبر الفيلسوف كانط النظرية حدا للإطار التصوري و المفاهيمي للدراسة العلمية، قد لا نتحدث عن العلم بقدر ما نتحدث عن نظريات علمية. تعد النظرية ترتيب أمور معلومة على أكمل وجه، يؤدي الى استعلام ما ليس بمعلوم، قيل النظر طلب علم من علم. تعد النظرية على حسب المعجم الفلسفي للالاند بناء فرضيا استنباطيا يعكس رؤيا العالم حول قضية متنازع حولها، إنها تركيب كلي يسعى الى تفسير عدد من الظواهر و يسلم بها كفرضية تحتمل الصدق والكذب.</w:t>
      </w:r>
      <w:r w:rsidRPr="00354DA4">
        <w:rPr>
          <w:rStyle w:val="Appelnotedebasdep"/>
          <w:rFonts w:ascii="Sakkal Majalla" w:hAnsi="Sakkal Majalla" w:cs="Sakkal Majalla"/>
          <w:sz w:val="32"/>
          <w:szCs w:val="32"/>
          <w:rtl/>
          <w:lang w:bidi="ar-DZ"/>
        </w:rPr>
        <w:footnoteReference w:id="17"/>
      </w:r>
    </w:p>
    <w:p w:rsidR="00955879" w:rsidRPr="00354DA4" w:rsidRDefault="00955879" w:rsidP="00955879">
      <w:pPr>
        <w:bidi/>
        <w:spacing w:line="360" w:lineRule="auto"/>
        <w:ind w:firstLine="566"/>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2</w:t>
      </w:r>
      <w:r w:rsidRPr="00354DA4">
        <w:rPr>
          <w:rFonts w:ascii="Sakkal Majalla" w:hAnsi="Sakkal Majalla" w:cs="Sakkal Majalla"/>
          <w:b/>
          <w:bCs/>
          <w:sz w:val="32"/>
          <w:szCs w:val="32"/>
          <w:rtl/>
          <w:lang w:bidi="ar-DZ"/>
        </w:rPr>
        <w:t>/أسس النظرية:</w:t>
      </w:r>
    </w:p>
    <w:p w:rsidR="00955879" w:rsidRPr="00354DA4" w:rsidRDefault="00955879" w:rsidP="00955879">
      <w:pPr>
        <w:bidi/>
        <w:spacing w:line="360" w:lineRule="auto"/>
        <w:ind w:firstLine="566"/>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تساعد وسائل الاعلام على تحديد أولويات الجمهور ،من خلال تحديد القضايا التي تختلف بشأنها وجهات النظر وتصلح للنقاش الجماهيري، معنى ذلك أنه حين تقرر وسائل الاعلام تخصيص حجم زمني معتبر أو مساحة واسعة في التغطية الاخبارية لقضية الارهاب، لا محالة أنها ستكتسب أهمية قصوى لدى الجماهير، اذا كان تركيز وسائل الاعلام على موضوع البطالة فيكون هذا الموضوع في المرتبة الثانية في تفكير الجمهور واهتماماته وأولوياته.</w:t>
      </w:r>
      <w:r w:rsidRPr="00354DA4">
        <w:rPr>
          <w:rStyle w:val="Appelnotedebasdep"/>
          <w:rFonts w:ascii="Sakkal Majalla" w:hAnsi="Sakkal Majalla" w:cs="Sakkal Majalla"/>
          <w:sz w:val="32"/>
          <w:szCs w:val="32"/>
          <w:rtl/>
          <w:lang w:bidi="ar-DZ"/>
        </w:rPr>
        <w:footnoteReference w:id="18"/>
      </w:r>
      <w:r w:rsidRPr="00354DA4">
        <w:rPr>
          <w:rFonts w:ascii="Sakkal Majalla" w:hAnsi="Sakkal Majalla" w:cs="Sakkal Majalla"/>
          <w:sz w:val="32"/>
          <w:szCs w:val="32"/>
          <w:rtl/>
          <w:lang w:bidi="ar-DZ"/>
        </w:rPr>
        <w:t xml:space="preserve"> حيث يختار القائمون على </w:t>
      </w:r>
      <w:r w:rsidRPr="00354DA4">
        <w:rPr>
          <w:rFonts w:ascii="Sakkal Majalla" w:hAnsi="Sakkal Majalla" w:cs="Sakkal Majalla"/>
          <w:sz w:val="32"/>
          <w:szCs w:val="32"/>
          <w:rtl/>
          <w:lang w:bidi="ar-DZ"/>
        </w:rPr>
        <w:lastRenderedPageBreak/>
        <w:t>وسائل الاعلام بعض الموضوعات، التي يتم التركيز عليها بشدة، والتحكم في طبيعتها، ومحتواها بحيث تصبح هذه الموضوعات أهم بكثير مما تطرحه وسائل الاعلام من موضوعات أخرى(....).</w:t>
      </w:r>
    </w:p>
    <w:p w:rsidR="00955879" w:rsidRPr="00354DA4" w:rsidRDefault="00955879" w:rsidP="00955879">
      <w:pPr>
        <w:bidi/>
        <w:spacing w:line="360" w:lineRule="auto"/>
        <w:ind w:firstLine="566"/>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 xml:space="preserve">ترجع أصول هذه النظرية الى </w:t>
      </w:r>
      <w:r w:rsidRPr="00354DA4">
        <w:rPr>
          <w:rFonts w:ascii="Sakkal Majalla" w:hAnsi="Sakkal Majalla" w:cs="Sakkal Majalla"/>
          <w:b/>
          <w:bCs/>
          <w:sz w:val="32"/>
          <w:szCs w:val="32"/>
          <w:rtl/>
          <w:lang w:bidi="ar-DZ"/>
        </w:rPr>
        <w:t>ليبمان</w:t>
      </w:r>
      <w:r w:rsidRPr="00354DA4">
        <w:rPr>
          <w:rStyle w:val="Appelnotedebasdep"/>
          <w:rFonts w:ascii="Sakkal Majalla" w:hAnsi="Sakkal Majalla" w:cs="Sakkal Majalla"/>
          <w:b/>
          <w:bCs/>
          <w:sz w:val="32"/>
          <w:szCs w:val="32"/>
          <w:rtl/>
          <w:lang w:bidi="ar-DZ"/>
        </w:rPr>
        <w:footnoteReference w:id="19"/>
      </w:r>
      <w:r w:rsidRPr="00354DA4">
        <w:rPr>
          <w:rFonts w:ascii="Sakkal Majalla" w:hAnsi="Sakkal Majalla" w:cs="Sakkal Majalla"/>
          <w:sz w:val="32"/>
          <w:szCs w:val="32"/>
          <w:rtl/>
          <w:lang w:bidi="ar-DZ"/>
        </w:rPr>
        <w:t xml:space="preserve"> ضمن كتابه "</w:t>
      </w:r>
      <w:r w:rsidRPr="00354DA4">
        <w:rPr>
          <w:rFonts w:ascii="Sakkal Majalla" w:hAnsi="Sakkal Majalla" w:cs="Sakkal Majalla"/>
          <w:b/>
          <w:bCs/>
          <w:sz w:val="32"/>
          <w:szCs w:val="32"/>
          <w:rtl/>
          <w:lang w:bidi="ar-DZ"/>
        </w:rPr>
        <w:t>الرأي العام"</w:t>
      </w:r>
      <w:r w:rsidRPr="00354DA4">
        <w:rPr>
          <w:rFonts w:ascii="Sakkal Majalla" w:hAnsi="Sakkal Majalla" w:cs="Sakkal Majalla"/>
          <w:sz w:val="32"/>
          <w:szCs w:val="32"/>
          <w:rtl/>
          <w:lang w:bidi="ar-DZ"/>
        </w:rPr>
        <w:t xml:space="preserve"> سنة 1922، حيث يرى أن وسائل الاعلام تساعد على بناء الصورة الذهنية لدى الجماهير، كما تقدم في كثير من الأحيان بيئات زائفة في عقول الجماهير، تعمل الوسائل على تكوين الرأي العام، من خلال تقديم القضايا التي تهم المجتمع، حيث تركز هذه النظرية على أن وسائل الاعلام تستطيع تغيير الاتجاهات</w:t>
      </w:r>
      <w:r w:rsidRPr="00354DA4">
        <w:rPr>
          <w:rStyle w:val="Appelnotedebasdep"/>
          <w:rFonts w:ascii="Sakkal Majalla" w:hAnsi="Sakkal Majalla" w:cs="Sakkal Majalla"/>
          <w:sz w:val="32"/>
          <w:szCs w:val="32"/>
          <w:rtl/>
          <w:lang w:bidi="ar-DZ"/>
        </w:rPr>
        <w:footnoteReference w:id="20"/>
      </w:r>
      <w:r w:rsidRPr="00354DA4">
        <w:rPr>
          <w:rFonts w:ascii="Sakkal Majalla" w:hAnsi="Sakkal Majalla" w:cs="Sakkal Majalla"/>
          <w:sz w:val="32"/>
          <w:szCs w:val="32"/>
          <w:rtl/>
          <w:lang w:bidi="ar-DZ"/>
        </w:rPr>
        <w:t>، استعير اسم هذه النظرية من فكرة جدول الأعمال الذي يبحث في اللقاءات والاجتماعات الذي يطلق عليه اسم أجندة، فكرة هذه النظرية تقول أنه مثلما يحدد جدول الاعمال في أي لقاء، تترتب المواضيع التي سوف تناقش بناءا على أهميتها، أي أن وسائل الاعلام قوم بالوظيفة نفسها، أي لها جدول أعمالها الخاص وأجندتها.</w:t>
      </w:r>
      <w:r w:rsidRPr="00354DA4">
        <w:rPr>
          <w:rStyle w:val="Appelnotedebasdep"/>
          <w:rFonts w:ascii="Sakkal Majalla" w:hAnsi="Sakkal Majalla" w:cs="Sakkal Majalla"/>
          <w:sz w:val="32"/>
          <w:szCs w:val="32"/>
          <w:rtl/>
          <w:lang w:bidi="ar-DZ"/>
        </w:rPr>
        <w:footnoteReference w:id="21"/>
      </w:r>
    </w:p>
    <w:p w:rsidR="00955879" w:rsidRPr="00354DA4" w:rsidRDefault="00955879" w:rsidP="00955879">
      <w:pPr>
        <w:bidi/>
        <w:spacing w:line="360" w:lineRule="auto"/>
        <w:ind w:firstLine="566"/>
        <w:jc w:val="both"/>
        <w:rPr>
          <w:rFonts w:ascii="Sakkal Majalla" w:hAnsi="Sakkal Majalla" w:cs="Sakkal Majalla"/>
          <w:sz w:val="32"/>
          <w:szCs w:val="32"/>
          <w:vertAlign w:val="superscript"/>
          <w:rtl/>
          <w:lang w:bidi="ar-DZ"/>
        </w:rPr>
      </w:pPr>
      <w:r w:rsidRPr="00354DA4">
        <w:rPr>
          <w:rFonts w:ascii="Sakkal Majalla" w:hAnsi="Sakkal Majalla" w:cs="Sakkal Majalla"/>
          <w:sz w:val="32"/>
          <w:szCs w:val="32"/>
          <w:rtl/>
          <w:lang w:bidi="ar-DZ"/>
        </w:rPr>
        <w:t>قامت هذه النظرية على يد ماك كومبس وشاو، التي وانطلقت من فرضية أن الوظيفة الأساسية لوسائل الاتصال تكمن فيما يجب أن يفكر فيه الجمهور وليس كيف يفكر.</w:t>
      </w:r>
      <w:r w:rsidRPr="00354DA4">
        <w:rPr>
          <w:rStyle w:val="Appelnotedebasdep"/>
          <w:rFonts w:ascii="Sakkal Majalla" w:hAnsi="Sakkal Majalla" w:cs="Sakkal Majalla"/>
          <w:sz w:val="32"/>
          <w:szCs w:val="32"/>
          <w:rtl/>
          <w:lang w:bidi="ar-DZ"/>
        </w:rPr>
        <w:footnoteReference w:id="22"/>
      </w:r>
      <w:r w:rsidRPr="00354DA4">
        <w:rPr>
          <w:rFonts w:ascii="Sakkal Majalla" w:hAnsi="Sakkal Majalla" w:cs="Sakkal Majalla"/>
          <w:sz w:val="32"/>
          <w:szCs w:val="32"/>
          <w:rtl/>
          <w:lang w:bidi="ar-DZ"/>
        </w:rPr>
        <w:t xml:space="preserve"> وحسب نموذج الآثار الموحدة في دراسات الاعلام.  تعتمد عملية وضع الأجندة على وسائل الاعلام التي تحدد ما نفكر، حيث أوضح  ليبمان أن الإعلام يهيمن على خلق الصور في أذهاننا، أي رد فعل الجمهور </w:t>
      </w:r>
      <w:r w:rsidRPr="00354DA4">
        <w:rPr>
          <w:rFonts w:ascii="Sakkal Majalla" w:hAnsi="Sakkal Majalla" w:cs="Sakkal Majalla"/>
          <w:sz w:val="32"/>
          <w:szCs w:val="32"/>
          <w:rtl/>
          <w:lang w:bidi="ar-DZ"/>
        </w:rPr>
        <w:lastRenderedPageBreak/>
        <w:t xml:space="preserve">يكون تجاه تلك الصور و ليس تجاه الأحداث الفعلية. </w:t>
      </w:r>
      <w:r w:rsidRPr="00354DA4">
        <w:rPr>
          <w:rStyle w:val="Appelnotedebasdep"/>
          <w:rFonts w:ascii="Sakkal Majalla" w:hAnsi="Sakkal Majalla" w:cs="Sakkal Majalla"/>
          <w:sz w:val="32"/>
          <w:szCs w:val="32"/>
          <w:rtl/>
          <w:lang w:bidi="ar-DZ"/>
        </w:rPr>
        <w:footnoteReference w:id="23"/>
      </w:r>
      <w:r w:rsidRPr="00354DA4">
        <w:rPr>
          <w:rFonts w:ascii="Sakkal Majalla" w:hAnsi="Sakkal Majalla" w:cs="Sakkal Majalla"/>
          <w:sz w:val="32"/>
          <w:szCs w:val="32"/>
          <w:rtl/>
          <w:lang w:bidi="ar-DZ"/>
        </w:rPr>
        <w:t xml:space="preserve"> فوضع الأجندة هي عملية تهدف الى إعادة صياغة جميع الأحداث التي تقع في البيئة المحيطة بناءا على نموذج بسيط قبل أن تتعامل معه، فهي عبارة عن اعادة صياغة الأحداث المحيطة بقالب جديد، يتم ترتيب أهميتها في الوسيلة الاعلامية بما يتناسب مع السياسة التحريرية للمؤسسة الإعلامية بهدف اقناع الجمهور وتغيير اتجاهاته بما يتوافق مع توجهات الايديولوجية لتلك الوسيلة(...).  تبين أن الصحافة تنجح أكثر من التلفزيون في التأثير على أجندة الجمهور، ذلك أن التلفزيون يهتم أكثر بالقضايا العامة وليس الفرعية الأكثر تخصصا التي يمكن أن تهتم بها الصحف حيث تهتم الصحف بالعمق والاهتمام.</w:t>
      </w:r>
      <w:r w:rsidRPr="00354DA4">
        <w:rPr>
          <w:rFonts w:ascii="Sakkal Majalla" w:hAnsi="Sakkal Majalla" w:cs="Sakkal Majalla"/>
          <w:sz w:val="32"/>
          <w:szCs w:val="32"/>
          <w:vertAlign w:val="superscript"/>
          <w:rtl/>
          <w:lang w:bidi="ar-DZ"/>
        </w:rPr>
        <w:t>(</w:t>
      </w:r>
      <w:r w:rsidRPr="00354DA4">
        <w:rPr>
          <w:rFonts w:ascii="Sakkal Majalla" w:hAnsi="Sakkal Majalla" w:cs="Sakkal Majalla"/>
          <w:sz w:val="32"/>
          <w:szCs w:val="32"/>
          <w:vertAlign w:val="superscript"/>
          <w:rtl/>
          <w:lang w:bidi="ar-DZ"/>
        </w:rPr>
        <w:footnoteReference w:id="24"/>
      </w:r>
      <w:r w:rsidRPr="00354DA4">
        <w:rPr>
          <w:rFonts w:ascii="Sakkal Majalla" w:hAnsi="Sakkal Majalla" w:cs="Sakkal Majalla"/>
          <w:sz w:val="32"/>
          <w:szCs w:val="32"/>
          <w:vertAlign w:val="superscript"/>
          <w:rtl/>
          <w:lang w:bidi="ar-DZ"/>
        </w:rPr>
        <w:t>)</w:t>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 xml:space="preserve"> هناك علاقة وثيقة بين الطريقة التي تعرض بها وسائل الإعلام الإخبارية السمعية البصرية  و الصحافة بشكل عام، أي أنها تتضمن اهتمامهم بقضايا معينة و إبرازها و التركيز عليها شكلا ومضمونا، تتوقع الصحيفة أن تكون تلك القضايا في مقدمة اهتمامات الجمهور، نتيجة لقراءته الصحيفة، وهذا بالنسبة لباقي وسائل الاعلام</w:t>
      </w:r>
      <w:r w:rsidRPr="00354DA4">
        <w:rPr>
          <w:rFonts w:ascii="Sakkal Majalla" w:hAnsi="Sakkal Majalla" w:cs="Sakkal Majalla"/>
          <w:sz w:val="32"/>
          <w:szCs w:val="32"/>
          <w:vertAlign w:val="superscript"/>
          <w:rtl/>
          <w:lang w:bidi="ar-DZ"/>
        </w:rPr>
        <w:t>(</w:t>
      </w:r>
      <w:r w:rsidRPr="00354DA4">
        <w:rPr>
          <w:rFonts w:ascii="Sakkal Majalla" w:hAnsi="Sakkal Majalla" w:cs="Sakkal Majalla"/>
          <w:sz w:val="32"/>
          <w:szCs w:val="32"/>
          <w:vertAlign w:val="superscript"/>
          <w:rtl/>
          <w:lang w:bidi="ar-DZ"/>
        </w:rPr>
        <w:footnoteReference w:id="25"/>
      </w:r>
      <w:r w:rsidRPr="00354DA4">
        <w:rPr>
          <w:rFonts w:ascii="Sakkal Majalla" w:hAnsi="Sakkal Majalla" w:cs="Sakkal Majalla"/>
          <w:sz w:val="32"/>
          <w:szCs w:val="32"/>
          <w:vertAlign w:val="superscript"/>
          <w:rtl/>
          <w:lang w:bidi="ar-DZ"/>
        </w:rPr>
        <w:t>)</w:t>
      </w:r>
      <w:r w:rsidRPr="00354DA4">
        <w:rPr>
          <w:rFonts w:ascii="Sakkal Majalla" w:hAnsi="Sakkal Majalla" w:cs="Sakkal Majalla"/>
          <w:sz w:val="32"/>
          <w:szCs w:val="32"/>
          <w:rtl/>
          <w:lang w:bidi="ar-DZ"/>
        </w:rPr>
        <w:t>.</w:t>
      </w:r>
    </w:p>
    <w:p w:rsidR="00955879" w:rsidRPr="00354DA4" w:rsidRDefault="00955879" w:rsidP="00955879">
      <w:pPr>
        <w:bidi/>
        <w:spacing w:line="360" w:lineRule="auto"/>
        <w:ind w:firstLine="566"/>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تبث وسائل الاعلام المعلومات و الأخبار وفق ما يراه الجمهور مهما، أي وفق أهمية المعلومات، التي ترتب على حسب الأولويات التي وفق أهمية الحدث و عليه فإن لوسائل الاعلام تأثيرا قويا يتمثل في قدرتها على بناء تفكيرهم، أي قدرتها على ترتيب العالم وتنظيمه عقليا وتقسم الأولويات الى نوعين :</w:t>
      </w:r>
    </w:p>
    <w:p w:rsidR="00955879" w:rsidRPr="00354DA4" w:rsidRDefault="00955879" w:rsidP="00955879">
      <w:pPr>
        <w:bidi/>
        <w:spacing w:line="360" w:lineRule="auto"/>
        <w:ind w:firstLine="566"/>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lastRenderedPageBreak/>
        <w:t>1-</w:t>
      </w:r>
      <w:r w:rsidRPr="00354DA4">
        <w:rPr>
          <w:rFonts w:ascii="Sakkal Majalla" w:hAnsi="Sakkal Majalla" w:cs="Sakkal Majalla"/>
          <w:b/>
          <w:bCs/>
          <w:sz w:val="32"/>
          <w:szCs w:val="32"/>
          <w:rtl/>
          <w:lang w:bidi="ar-DZ"/>
        </w:rPr>
        <w:t>الأولويات المنظمة</w:t>
      </w:r>
      <w:r w:rsidRPr="00354DA4">
        <w:rPr>
          <w:rFonts w:ascii="Sakkal Majalla" w:hAnsi="Sakkal Majalla" w:cs="Sakkal Majalla"/>
          <w:sz w:val="32"/>
          <w:szCs w:val="32"/>
          <w:rtl/>
          <w:lang w:bidi="ar-DZ"/>
        </w:rPr>
        <w:t xml:space="preserve"> : هي تلك الموجودة أساسا على الساحة الاعلامية، مثل قضية فلسطين المحتلة والعراق.</w:t>
      </w:r>
    </w:p>
    <w:p w:rsidR="00955879" w:rsidRPr="00354DA4" w:rsidRDefault="00955879" w:rsidP="00955879">
      <w:pPr>
        <w:bidi/>
        <w:spacing w:line="360" w:lineRule="auto"/>
        <w:ind w:firstLine="566"/>
        <w:jc w:val="both"/>
        <w:rPr>
          <w:rFonts w:ascii="Sakkal Majalla" w:hAnsi="Sakkal Majalla" w:cs="Sakkal Majalla"/>
          <w:sz w:val="32"/>
          <w:szCs w:val="32"/>
          <w:rtl/>
          <w:lang w:bidi="ar-DZ"/>
        </w:rPr>
      </w:pPr>
      <w:r w:rsidRPr="00354DA4">
        <w:rPr>
          <w:rFonts w:ascii="Sakkal Majalla" w:hAnsi="Sakkal Majalla" w:cs="Sakkal Majalla"/>
          <w:b/>
          <w:bCs/>
          <w:sz w:val="32"/>
          <w:szCs w:val="32"/>
          <w:rtl/>
          <w:lang w:bidi="ar-DZ"/>
        </w:rPr>
        <w:t>2-الأولويات المؤسساتية</w:t>
      </w:r>
      <w:r w:rsidRPr="00354DA4">
        <w:rPr>
          <w:rFonts w:ascii="Sakkal Majalla" w:hAnsi="Sakkal Majalla" w:cs="Sakkal Majalla"/>
          <w:sz w:val="32"/>
          <w:szCs w:val="32"/>
          <w:rtl/>
          <w:lang w:bidi="ar-DZ"/>
        </w:rPr>
        <w:t>: التي تخص مؤسسة ما بتفعيل موضوع ما اعلاميا  لتزيد اهتمام المستقبل له، من خلال ارتقائه في سلم الأولويات.</w:t>
      </w:r>
      <w:r w:rsidRPr="00354DA4">
        <w:rPr>
          <w:rStyle w:val="Appelnotedebasdep"/>
          <w:rFonts w:ascii="Sakkal Majalla" w:hAnsi="Sakkal Majalla" w:cs="Sakkal Majalla"/>
          <w:sz w:val="32"/>
          <w:szCs w:val="32"/>
          <w:rtl/>
          <w:lang w:bidi="ar-DZ"/>
        </w:rPr>
        <w:footnoteReference w:id="26"/>
      </w:r>
    </w:p>
    <w:p w:rsidR="00955879" w:rsidRPr="00354DA4" w:rsidRDefault="00955879" w:rsidP="00955879">
      <w:pPr>
        <w:bidi/>
        <w:spacing w:line="360" w:lineRule="auto"/>
        <w:ind w:firstLine="566"/>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هناك عوامل أخرى تؤثر في وضع الأولويات وتؤثر على ترتيبها و نحصرها كالتالي:</w:t>
      </w:r>
    </w:p>
    <w:p w:rsidR="00955879" w:rsidRPr="00354DA4" w:rsidRDefault="00955879" w:rsidP="00955879">
      <w:pPr>
        <w:bidi/>
        <w:spacing w:line="360" w:lineRule="auto"/>
        <w:ind w:firstLine="566"/>
        <w:jc w:val="both"/>
        <w:rPr>
          <w:rFonts w:ascii="Sakkal Majalla" w:hAnsi="Sakkal Majalla" w:cs="Sakkal Majalla"/>
          <w:b/>
          <w:bCs/>
          <w:sz w:val="32"/>
          <w:szCs w:val="32"/>
          <w:rtl/>
          <w:lang w:bidi="ar-DZ"/>
        </w:rPr>
      </w:pPr>
      <w:r w:rsidRPr="00354DA4">
        <w:rPr>
          <w:rFonts w:ascii="Sakkal Majalla" w:hAnsi="Sakkal Majalla" w:cs="Sakkal Majalla"/>
          <w:b/>
          <w:bCs/>
          <w:sz w:val="32"/>
          <w:szCs w:val="32"/>
          <w:rtl/>
          <w:lang w:bidi="ar-DZ"/>
        </w:rPr>
        <w:t xml:space="preserve">أ/طبيعة القضايا: </w:t>
      </w:r>
      <w:r w:rsidRPr="00354DA4">
        <w:rPr>
          <w:rFonts w:ascii="Sakkal Majalla" w:hAnsi="Sakkal Majalla" w:cs="Sakkal Majalla"/>
          <w:sz w:val="32"/>
          <w:szCs w:val="32"/>
          <w:rtl/>
          <w:lang w:bidi="ar-DZ"/>
        </w:rPr>
        <w:t>أي طبيعة القضايا ومدى كونها مدركة و ملموسة من جانب الجمهور، مجردة و غير ملموسة من جانب آخر، الجانب الأول  يتمثل  في كون للجمهور لديه خبرة مباشرة مثل تكاليف المعيشة ،البطالة ،الجريمة. بينما القضايا المجردة تتمثل في التلوث ،المخدرات ...الخ. لاحظ بعض الباحثون أن وضع الأولويات تكون قوية بالنسبة للقضايا غير الملموسة، في حين يرى آخرون أن القضايا غير الملموسة تصبح ملموسة مع الوقت.</w:t>
      </w:r>
    </w:p>
    <w:p w:rsidR="00955879" w:rsidRPr="00354DA4" w:rsidRDefault="00955879" w:rsidP="00955879">
      <w:pPr>
        <w:bidi/>
        <w:spacing w:line="360" w:lineRule="auto"/>
        <w:ind w:firstLine="566"/>
        <w:jc w:val="both"/>
        <w:rPr>
          <w:rFonts w:ascii="Sakkal Majalla" w:hAnsi="Sakkal Majalla" w:cs="Sakkal Majalla"/>
          <w:sz w:val="32"/>
          <w:szCs w:val="32"/>
          <w:rtl/>
          <w:lang w:bidi="ar-DZ"/>
        </w:rPr>
      </w:pPr>
      <w:r w:rsidRPr="00354DA4">
        <w:rPr>
          <w:rFonts w:ascii="Sakkal Majalla" w:hAnsi="Sakkal Majalla" w:cs="Sakkal Majalla"/>
          <w:b/>
          <w:bCs/>
          <w:sz w:val="32"/>
          <w:szCs w:val="32"/>
          <w:rtl/>
          <w:lang w:bidi="ar-DZ"/>
        </w:rPr>
        <w:t>ب/أهمية القضايا</w:t>
      </w:r>
      <w:r w:rsidRPr="00354DA4">
        <w:rPr>
          <w:rFonts w:ascii="Sakkal Majalla" w:hAnsi="Sakkal Majalla" w:cs="Sakkal Majalla"/>
          <w:sz w:val="32"/>
          <w:szCs w:val="32"/>
          <w:rtl/>
          <w:lang w:bidi="ar-DZ"/>
        </w:rPr>
        <w:t>: تعني وجود علاقة ارتباط ايجابي بين درجة اهتمام الجمهور بالقضية وزيادة حصولها على أولويات أكبر.</w:t>
      </w:r>
    </w:p>
    <w:p w:rsidR="00955879" w:rsidRPr="00354DA4" w:rsidRDefault="00955879" w:rsidP="00955879">
      <w:pPr>
        <w:bidi/>
        <w:spacing w:line="360" w:lineRule="auto"/>
        <w:ind w:firstLine="566"/>
        <w:jc w:val="both"/>
        <w:rPr>
          <w:rFonts w:ascii="Sakkal Majalla" w:hAnsi="Sakkal Majalla" w:cs="Sakkal Majalla"/>
          <w:b/>
          <w:bCs/>
          <w:sz w:val="32"/>
          <w:szCs w:val="32"/>
          <w:rtl/>
          <w:lang w:bidi="ar-DZ"/>
        </w:rPr>
      </w:pPr>
      <w:r w:rsidRPr="00354DA4">
        <w:rPr>
          <w:rFonts w:ascii="Sakkal Majalla" w:hAnsi="Sakkal Majalla" w:cs="Sakkal Majalla"/>
          <w:b/>
          <w:bCs/>
          <w:sz w:val="32"/>
          <w:szCs w:val="32"/>
          <w:rtl/>
          <w:lang w:bidi="ar-DZ"/>
        </w:rPr>
        <w:t xml:space="preserve">ج/الخصائص الديمغرافية: </w:t>
      </w:r>
      <w:r w:rsidRPr="00354DA4">
        <w:rPr>
          <w:rFonts w:ascii="Sakkal Majalla" w:hAnsi="Sakkal Majalla" w:cs="Sakkal Majalla"/>
          <w:sz w:val="32"/>
          <w:szCs w:val="32"/>
          <w:rtl/>
          <w:lang w:bidi="ar-DZ"/>
        </w:rPr>
        <w:t>وجود علاقة ارتباط بين الخصائص الديمغرافية وترتيب الأولويات.</w:t>
      </w:r>
    </w:p>
    <w:p w:rsidR="00955879" w:rsidRPr="00354DA4" w:rsidRDefault="00955879" w:rsidP="00955879">
      <w:pPr>
        <w:bidi/>
        <w:spacing w:line="360" w:lineRule="auto"/>
        <w:ind w:firstLine="566"/>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 xml:space="preserve">   </w:t>
      </w:r>
      <w:r w:rsidRPr="00354DA4">
        <w:rPr>
          <w:rFonts w:ascii="Sakkal Majalla" w:hAnsi="Sakkal Majalla" w:cs="Sakkal Majalla"/>
          <w:b/>
          <w:bCs/>
          <w:sz w:val="32"/>
          <w:szCs w:val="32"/>
          <w:rtl/>
          <w:lang w:bidi="ar-DZ"/>
        </w:rPr>
        <w:t>د/الاتصال الشخصي</w:t>
      </w:r>
      <w:r w:rsidRPr="00354DA4">
        <w:rPr>
          <w:rFonts w:ascii="Sakkal Majalla" w:hAnsi="Sakkal Majalla" w:cs="Sakkal Majalla"/>
          <w:sz w:val="32"/>
          <w:szCs w:val="32"/>
          <w:rtl/>
          <w:lang w:bidi="ar-DZ"/>
        </w:rPr>
        <w:t>: تستطيع الاتصالات الشخصية تقرير تأثير وضع الأولويات للقضايا التي تحظى بتغطية اعلامية مكثفة.</w:t>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b/>
          <w:bCs/>
          <w:sz w:val="32"/>
          <w:szCs w:val="32"/>
          <w:rtl/>
          <w:lang w:bidi="ar-DZ"/>
        </w:rPr>
        <w:lastRenderedPageBreak/>
        <w:t xml:space="preserve">      ه/توقيت اثارة القضايا</w:t>
      </w:r>
      <w:r w:rsidRPr="00354DA4">
        <w:rPr>
          <w:rFonts w:ascii="Sakkal Majalla" w:hAnsi="Sakkal Majalla" w:cs="Sakkal Majalla"/>
          <w:sz w:val="32"/>
          <w:szCs w:val="32"/>
          <w:rtl/>
          <w:lang w:bidi="ar-DZ"/>
        </w:rPr>
        <w:t>: أشارت دراسات عديدة أن وسائل الاعلام تقوم بدورها في ترتيب الأوليات، أيام الانتخابات بشكل أقوى منها في غير أوقات الانتخابات .</w:t>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b/>
          <w:bCs/>
          <w:sz w:val="32"/>
          <w:szCs w:val="32"/>
          <w:rtl/>
          <w:lang w:bidi="ar-DZ"/>
        </w:rPr>
        <w:t xml:space="preserve">      ح/نوع الوسيلة المستخدمة</w:t>
      </w:r>
      <w:r w:rsidRPr="00354DA4">
        <w:rPr>
          <w:rFonts w:ascii="Sakkal Majalla" w:hAnsi="Sakkal Majalla" w:cs="Sakkal Majalla"/>
          <w:sz w:val="32"/>
          <w:szCs w:val="32"/>
          <w:rtl/>
          <w:lang w:bidi="ar-DZ"/>
        </w:rPr>
        <w:t>: أثبتت الدراسات الخاصة بوضع الأجندة أن الصحف والتلفزيون  يحققان طبيعة وضع الأولويات، حيث أن الصحف تحقق تأثيرات فعالة وأقوى على المدى البعيد عكس التلفزيون على المدى القصير.</w:t>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b/>
          <w:bCs/>
          <w:sz w:val="32"/>
          <w:szCs w:val="32"/>
          <w:rtl/>
          <w:lang w:bidi="ar-DZ"/>
        </w:rPr>
        <w:t xml:space="preserve">      خ/المدى الزمني لوضع الأولويات :</w:t>
      </w:r>
      <w:r w:rsidRPr="00354DA4">
        <w:rPr>
          <w:rFonts w:ascii="Sakkal Majalla" w:hAnsi="Sakkal Majalla" w:cs="Sakkal Majalla"/>
          <w:sz w:val="32"/>
          <w:szCs w:val="32"/>
          <w:rtl/>
          <w:lang w:bidi="ar-DZ"/>
        </w:rPr>
        <w:t xml:space="preserve">أشارت الدراسات أن تأثيرات الرسالة لا تحدث بشكل مباشر وسريع، هذا التأثير بينه </w:t>
      </w:r>
      <w:r w:rsidRPr="00354DA4">
        <w:rPr>
          <w:rFonts w:ascii="Sakkal Majalla" w:hAnsi="Sakkal Majalla" w:cs="Sakkal Majalla"/>
          <w:b/>
          <w:bCs/>
          <w:sz w:val="32"/>
          <w:szCs w:val="32"/>
          <w:rtl/>
          <w:lang w:bidi="ar-DZ"/>
        </w:rPr>
        <w:t>هوفلاند</w:t>
      </w:r>
      <w:r w:rsidRPr="00354DA4">
        <w:rPr>
          <w:rStyle w:val="Appelnotedebasdep"/>
          <w:rFonts w:ascii="Sakkal Majalla" w:hAnsi="Sakkal Majalla" w:cs="Sakkal Majalla"/>
          <w:sz w:val="32"/>
          <w:szCs w:val="32"/>
          <w:rtl/>
          <w:lang w:bidi="ar-DZ"/>
        </w:rPr>
        <w:footnoteReference w:id="27"/>
      </w:r>
      <w:r w:rsidRPr="00354DA4">
        <w:rPr>
          <w:rFonts w:ascii="Sakkal Majalla" w:hAnsi="Sakkal Majalla" w:cs="Sakkal Majalla"/>
          <w:b/>
          <w:bCs/>
          <w:sz w:val="32"/>
          <w:szCs w:val="32"/>
          <w:rtl/>
          <w:lang w:bidi="ar-DZ"/>
        </w:rPr>
        <w:t xml:space="preserve"> </w:t>
      </w:r>
      <w:r w:rsidRPr="00354DA4">
        <w:rPr>
          <w:rFonts w:ascii="Sakkal Majalla" w:hAnsi="Sakkal Majalla" w:cs="Sakkal Majalla"/>
          <w:sz w:val="32"/>
          <w:szCs w:val="32"/>
          <w:rtl/>
          <w:lang w:bidi="ar-DZ"/>
        </w:rPr>
        <w:t>عندما أشار الى فكرة التأخر أو التباعد ما بين تقديم المصدر للرسالة من ناحية و قبول المتلقي من ناحية أخرى، فبعد فترة من الزمن ينسى المتلقي المصد، في حين يتذكر الرسالة، فهذا التأثير يحدث تدريجيا عبر فترة من الزمن.</w:t>
      </w:r>
      <w:r w:rsidRPr="00354DA4">
        <w:rPr>
          <w:rStyle w:val="Appelnotedebasdep"/>
          <w:rFonts w:ascii="Sakkal Majalla" w:hAnsi="Sakkal Majalla" w:cs="Sakkal Majalla"/>
          <w:sz w:val="32"/>
          <w:szCs w:val="32"/>
          <w:rtl/>
          <w:lang w:bidi="ar-DZ"/>
        </w:rPr>
        <w:footnoteReference w:id="28"/>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b/>
          <w:bCs/>
          <w:sz w:val="32"/>
          <w:szCs w:val="32"/>
          <w:rtl/>
          <w:lang w:bidi="ar-DZ"/>
        </w:rPr>
        <w:t>3/ الانتقادات التي وجهت لنظرية ترتيب الأولويات</w:t>
      </w:r>
      <w:r w:rsidRPr="00354DA4">
        <w:rPr>
          <w:rFonts w:ascii="Sakkal Majalla" w:hAnsi="Sakkal Majalla" w:cs="Sakkal Majalla"/>
          <w:sz w:val="32"/>
          <w:szCs w:val="32"/>
          <w:rtl/>
          <w:lang w:bidi="ar-DZ"/>
        </w:rPr>
        <w:t>:</w:t>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يرى جريفين أنه على الرغم من أن ماك كوبس وشو اعتبرا أن وظيفة الأجندة حقيقية قائمة، غير أن بعض الدراسات أثبتت أنها نتيجة محتملة وليست مؤكدة، حيث أن اعتماد الجمهور على وسائل الاعلام لتكوين أجندة قضاياه، التي اختلفت كثيرا عن دراسات أخرى لكونها أغفلت بعض الدراسات التي اعتبرت ترتيب الأولويات قائمة على التأثير التراكمي لمضامين وسائل الاعلام و ركزت على الآثار قصيرة الأمد.</w:t>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lastRenderedPageBreak/>
        <w:t>-غياب الأسس النظرية التي ترتكز عليها دراسات ترتيب الأولويات، لأنها ركزت على موضوعات وقضايا متخصصة بدلا من فحص مجالات الاهتمام الممكنة، التي تنقلها وسائل الاتصال للجمهور.</w:t>
      </w:r>
      <w:r w:rsidRPr="00354DA4">
        <w:rPr>
          <w:rStyle w:val="Appelnotedebasdep"/>
          <w:rFonts w:ascii="Sakkal Majalla" w:hAnsi="Sakkal Majalla" w:cs="Sakkal Majalla"/>
          <w:sz w:val="32"/>
          <w:szCs w:val="32"/>
          <w:rtl/>
          <w:lang w:bidi="ar-DZ"/>
        </w:rPr>
        <w:footnoteReference w:id="29"/>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 يفترض كل من ماك كوبس وشاو وجود علاقة بين التغطية الاعلامية وأهمية القضايا التي تدرك بالحواس، و هي العلاقة التي لا يمكن اثباتها من خلال هذا الطرح.</w:t>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 أغلب الدراسات المنشورة عن هذه النظرية، لم تعتمد على تصميمات منهجية،  تمكن من البرهنة، على العلاقة السببية بين أجندة وسائل الاتصال و أجندة الجمهور.</w:t>
      </w:r>
      <w:r w:rsidRPr="00354DA4">
        <w:rPr>
          <w:rStyle w:val="Appelnotedebasdep"/>
          <w:rFonts w:ascii="Sakkal Majalla" w:hAnsi="Sakkal Majalla" w:cs="Sakkal Majalla"/>
          <w:sz w:val="32"/>
          <w:szCs w:val="32"/>
          <w:rtl/>
          <w:lang w:bidi="ar-DZ"/>
        </w:rPr>
        <w:footnoteReference w:id="30"/>
      </w:r>
    </w:p>
    <w:p w:rsidR="00955879" w:rsidRPr="00354DA4" w:rsidRDefault="00955879" w:rsidP="00955879">
      <w:pPr>
        <w:pStyle w:val="Paragraphedeliste"/>
        <w:numPr>
          <w:ilvl w:val="0"/>
          <w:numId w:val="4"/>
        </w:numPr>
        <w:spacing w:after="200" w:line="360" w:lineRule="auto"/>
        <w:jc w:val="both"/>
        <w:rPr>
          <w:rFonts w:ascii="Sakkal Majalla" w:hAnsi="Sakkal Majalla" w:cs="Sakkal Majalla"/>
          <w:b/>
          <w:bCs/>
          <w:sz w:val="32"/>
          <w:szCs w:val="32"/>
          <w:rtl/>
          <w:lang w:bidi="ar-DZ"/>
        </w:rPr>
      </w:pPr>
      <w:r w:rsidRPr="00354DA4">
        <w:rPr>
          <w:rFonts w:ascii="Sakkal Majalla" w:hAnsi="Sakkal Majalla" w:cs="Sakkal Majalla"/>
          <w:b/>
          <w:bCs/>
          <w:sz w:val="32"/>
          <w:szCs w:val="32"/>
          <w:rtl/>
          <w:lang w:bidi="ar-DZ"/>
        </w:rPr>
        <w:t xml:space="preserve">نظرية الغرس الثقافي: </w:t>
      </w:r>
    </w:p>
    <w:p w:rsidR="00955879" w:rsidRPr="00354DA4" w:rsidRDefault="00955879" w:rsidP="00955879">
      <w:pPr>
        <w:bidi/>
        <w:spacing w:line="360" w:lineRule="auto"/>
        <w:jc w:val="both"/>
        <w:rPr>
          <w:rFonts w:ascii="Sakkal Majalla" w:hAnsi="Sakkal Majalla" w:cs="Sakkal Majalla"/>
          <w:b/>
          <w:bCs/>
          <w:sz w:val="32"/>
          <w:szCs w:val="32"/>
          <w:rtl/>
          <w:lang w:bidi="ar-DZ"/>
        </w:rPr>
      </w:pPr>
      <w:r w:rsidRPr="00354DA4">
        <w:rPr>
          <w:rFonts w:ascii="Sakkal Majalla" w:hAnsi="Sakkal Majalla" w:cs="Sakkal Majalla"/>
          <w:b/>
          <w:bCs/>
          <w:sz w:val="32"/>
          <w:szCs w:val="32"/>
          <w:rtl/>
          <w:lang w:bidi="ar-DZ"/>
        </w:rPr>
        <w:t>1/التعريف بالنظرية:</w:t>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sz w:val="32"/>
          <w:szCs w:val="32"/>
          <w:rtl/>
        </w:rPr>
        <w:t xml:space="preserve">يؤكد الباحثون على  حقيقة أساسية تشكل إطارا عاما لمناقشة العلاقة بين الاتصال والثقافة، يعني  أن الاتصال مهما كان محتواه، يظل ذا طبيعة ثقافية سواءا كان الاتصال شخصيا أم جمعيا أم جماهيريا، فالاتصال يعد في جانب أساسي منه ثقافة. </w:t>
      </w:r>
    </w:p>
    <w:p w:rsidR="00955879" w:rsidRPr="00354DA4" w:rsidRDefault="00955879" w:rsidP="00955879">
      <w:pPr>
        <w:bidi/>
        <w:spacing w:line="360" w:lineRule="auto"/>
        <w:jc w:val="both"/>
        <w:rPr>
          <w:rFonts w:ascii="Sakkal Majalla" w:hAnsi="Sakkal Majalla" w:cs="Sakkal Majalla"/>
          <w:sz w:val="32"/>
          <w:szCs w:val="32"/>
          <w:lang w:bidi="ar-DZ"/>
        </w:rPr>
      </w:pPr>
      <w:r w:rsidRPr="00354DA4">
        <w:rPr>
          <w:rFonts w:ascii="Sakkal Majalla" w:hAnsi="Sakkal Majalla" w:cs="Sakkal Majalla"/>
          <w:sz w:val="32"/>
          <w:szCs w:val="32"/>
          <w:rtl/>
        </w:rPr>
        <w:lastRenderedPageBreak/>
        <w:t>وقد تباينت وسائل الاتصال بين المجتمعات القديمة لأسباب ثقافية.  حيث أقرت منظمة اليونسكو أن حقيقة الاتصال يعد أحد العناصر المكونة للثقافة، لأنه مصدر تكوينها وعامل من عوامل اكتسابها وثرائها، و أنه يساعد على التعبير عنها ونشرها.</w:t>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sz w:val="32"/>
          <w:szCs w:val="32"/>
          <w:rtl/>
        </w:rPr>
        <w:t>أما على صعيد الثقافة فإنها تنطوي على ُبعد اتصالي أساسي. فالثقافة لا تمنح و إنما تكتسب، أي لا تكتسب إلا من خلال الاتصال بين أفراد جماعة ما، في إطار مكاني       و زماني معين. لا يمكن للثقافة أن تستمر عبر الأجيال، إلا من خلال قنوات اتصال.</w:t>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sz w:val="32"/>
          <w:szCs w:val="32"/>
          <w:rtl/>
        </w:rPr>
        <w:t>في الواقع إنها الاتجاهات السائدة في بحوث الإعلام والثقافة على السواء، إذ تدعم العلاقة العضوية القائمة بين الاتصال الجماهيري والثقافة.</w:t>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sz w:val="32"/>
          <w:szCs w:val="32"/>
          <w:rtl/>
        </w:rPr>
        <w:t xml:space="preserve"> فالحديث عن تأثير وسائل الإعلام في تكوين القيم والاتجاهات، دعمها أو تغييرها مهما كانت درجة التأثير أو نوعيته، فهو إقرار بأن العلاقة بينهما قائمة بشكل عضوي، مما يدعم هذه العلاقة أيضا. إن الاتصال و الثقافة هما إفراز لواقع ثقافي معين، من الصعب فهم العمليات الاتصالية في المجتمع، بمعزل عن مجمل الظروف الاجتماعية و السياسية والاقتصادية السائدة ، فجميعها عوامل ثقافية.  لكن من الصعب الوقوف على حدود العديد من الظواهر الثقافية في المجتمع وعوامل تطورها، بدون فهم النظام الإعلامي أو الاتصالي في المجتمع.</w:t>
      </w:r>
      <w:r w:rsidRPr="00354DA4">
        <w:rPr>
          <w:rFonts w:ascii="Sakkal Majalla" w:hAnsi="Sakkal Majalla" w:cs="Sakkal Majalla"/>
          <w:sz w:val="32"/>
          <w:szCs w:val="32"/>
          <w:vertAlign w:val="superscript"/>
          <w:rtl/>
        </w:rPr>
        <w:footnoteReference w:id="31"/>
      </w:r>
      <w:r w:rsidRPr="00354DA4">
        <w:rPr>
          <w:rFonts w:ascii="Sakkal Majalla" w:hAnsi="Sakkal Majalla" w:cs="Sakkal Majalla"/>
          <w:sz w:val="32"/>
          <w:szCs w:val="32"/>
          <w:rtl/>
        </w:rPr>
        <w:t xml:space="preserve"> </w:t>
      </w:r>
      <w:r w:rsidRPr="00354DA4">
        <w:rPr>
          <w:rFonts w:ascii="Sakkal Majalla" w:hAnsi="Sakkal Majalla" w:cs="Sakkal Majalla"/>
          <w:sz w:val="32"/>
          <w:szCs w:val="32"/>
          <w:rtl/>
          <w:lang w:bidi="ar-DZ"/>
        </w:rPr>
        <w:t>ترجع أصول هذه النظرية الى العالم الأمريكي  جورج جيربز الذي درس  تأثير وسائل الاتصال الجماهرية على البيئة الثقافية، ضمن مشروعه "المؤشرات الثقافية" أين ركز على ما يلي :</w:t>
      </w:r>
    </w:p>
    <w:p w:rsidR="00955879" w:rsidRPr="00354DA4" w:rsidRDefault="00955879" w:rsidP="00955879">
      <w:pPr>
        <w:numPr>
          <w:ilvl w:val="0"/>
          <w:numId w:val="3"/>
        </w:numPr>
        <w:bidi/>
        <w:spacing w:after="0" w:line="360" w:lineRule="auto"/>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 دراسة الرسائل والقيم والصورة الذهنية التي تعكسها وسائل الاعلام.</w:t>
      </w:r>
    </w:p>
    <w:p w:rsidR="00955879" w:rsidRPr="00354DA4" w:rsidRDefault="00955879" w:rsidP="00955879">
      <w:pPr>
        <w:numPr>
          <w:ilvl w:val="0"/>
          <w:numId w:val="3"/>
        </w:numPr>
        <w:bidi/>
        <w:spacing w:after="0" w:line="360" w:lineRule="auto"/>
        <w:jc w:val="both"/>
        <w:rPr>
          <w:rFonts w:ascii="Sakkal Majalla" w:hAnsi="Sakkal Majalla" w:cs="Sakkal Majalla"/>
          <w:sz w:val="32"/>
          <w:szCs w:val="32"/>
          <w:lang w:bidi="ar-DZ"/>
        </w:rPr>
      </w:pPr>
      <w:r w:rsidRPr="00354DA4">
        <w:rPr>
          <w:rFonts w:ascii="Sakkal Majalla" w:hAnsi="Sakkal Majalla" w:cs="Sakkal Majalla"/>
          <w:sz w:val="32"/>
          <w:szCs w:val="32"/>
          <w:rtl/>
          <w:lang w:bidi="ar-DZ"/>
        </w:rPr>
        <w:lastRenderedPageBreak/>
        <w:t>– دراسة الهياكل والضغوطات والعمليات التي تؤثر على انتاج الرسائل الاعلامية.</w:t>
      </w:r>
    </w:p>
    <w:p w:rsidR="00955879" w:rsidRPr="00354DA4" w:rsidRDefault="00955879" w:rsidP="00955879">
      <w:pPr>
        <w:numPr>
          <w:ilvl w:val="0"/>
          <w:numId w:val="3"/>
        </w:numPr>
        <w:bidi/>
        <w:spacing w:after="0" w:line="360" w:lineRule="auto"/>
        <w:jc w:val="both"/>
        <w:rPr>
          <w:rFonts w:ascii="Sakkal Majalla" w:hAnsi="Sakkal Majalla" w:cs="Sakkal Majalla"/>
          <w:sz w:val="32"/>
          <w:szCs w:val="32"/>
          <w:lang w:bidi="ar-DZ"/>
        </w:rPr>
      </w:pPr>
      <w:r w:rsidRPr="00354DA4">
        <w:rPr>
          <w:rFonts w:ascii="Sakkal Majalla" w:hAnsi="Sakkal Majalla" w:cs="Sakkal Majalla"/>
          <w:sz w:val="32"/>
          <w:szCs w:val="32"/>
          <w:rtl/>
          <w:lang w:bidi="ar-DZ"/>
        </w:rPr>
        <w:t>– دراسة المشاركة المستقلة للرسائل الجماهرية على دراسات الجمهور للواقع الاجتماعي.</w:t>
      </w:r>
      <w:r w:rsidRPr="00354DA4">
        <w:rPr>
          <w:rFonts w:ascii="Sakkal Majalla" w:hAnsi="Sakkal Majalla" w:cs="Sakkal Majalla"/>
          <w:sz w:val="32"/>
          <w:szCs w:val="32"/>
          <w:vertAlign w:val="superscript"/>
          <w:rtl/>
          <w:lang w:bidi="ar-DZ"/>
        </w:rPr>
        <w:footnoteReference w:id="32"/>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ويرجع ملفين ديفلير بدايات وجذور نظرية الغرس الثقافي إلى مفهوم والتر ليبمان</w:t>
      </w:r>
      <w:r w:rsidRPr="00354DA4">
        <w:rPr>
          <w:rFonts w:ascii="Sakkal Majalla" w:hAnsi="Sakkal Majalla" w:cs="Sakkal Majalla"/>
          <w:sz w:val="32"/>
          <w:szCs w:val="32"/>
          <w:lang w:bidi="ar-DZ"/>
        </w:rPr>
        <w:t xml:space="preserve"> </w:t>
      </w:r>
      <w:r w:rsidRPr="00354DA4">
        <w:rPr>
          <w:rFonts w:ascii="Sakkal Majalla" w:hAnsi="Sakkal Majalla" w:cs="Sakkal Majalla"/>
          <w:sz w:val="32"/>
          <w:szCs w:val="32"/>
          <w:rtl/>
          <w:lang w:bidi="ar-DZ"/>
        </w:rPr>
        <w:t xml:space="preserve">للصورة الذهنية التي تتكون في أذهان الجماهير، من خلال وسائل الإعلام المختلفة  سواء كانت عن أنفسهم أو عن الآخرين، أحياناً تكون هذه الصورة الذهنية بعيدة عن الواقع نتيجة لعدم وجود رقابة على المواد المعروضة في وسائل الإعلام، مما يؤدي إلى غموض في الحقائق وتشويه المعلومات وسوء فهم للواقع، بناء على هذا التصور حاول ديفلير تطوير نظرية الأعراف الثقافية </w:t>
      </w:r>
      <w:r w:rsidRPr="00354DA4">
        <w:rPr>
          <w:rFonts w:ascii="Sakkal Majalla" w:hAnsi="Sakkal Majalla" w:cs="Sakkal Majalla"/>
          <w:sz w:val="32"/>
          <w:szCs w:val="32"/>
          <w:lang w:bidi="ar-DZ"/>
        </w:rPr>
        <w:t>Cultural Norms</w:t>
      </w:r>
      <w:r w:rsidRPr="00354DA4">
        <w:rPr>
          <w:rFonts w:ascii="Sakkal Majalla" w:hAnsi="Sakkal Majalla" w:cs="Sakkal Majalla"/>
          <w:sz w:val="32"/>
          <w:szCs w:val="32"/>
          <w:rtl/>
          <w:lang w:bidi="ar-DZ"/>
        </w:rPr>
        <w:t xml:space="preserve"> ،التي تشبه إلى حد كبير نظرية الغرس.</w:t>
      </w:r>
    </w:p>
    <w:p w:rsidR="00955879" w:rsidRPr="00354DA4" w:rsidRDefault="00955879" w:rsidP="00955879">
      <w:pPr>
        <w:bidi/>
        <w:spacing w:line="360" w:lineRule="auto"/>
        <w:jc w:val="both"/>
        <w:rPr>
          <w:rFonts w:ascii="Sakkal Majalla" w:hAnsi="Sakkal Majalla" w:cs="Sakkal Majalla"/>
          <w:sz w:val="32"/>
          <w:szCs w:val="32"/>
          <w:rtl/>
          <w:lang w:bidi="ar-DZ"/>
        </w:rPr>
      </w:pPr>
      <w:r w:rsidRPr="00354DA4">
        <w:rPr>
          <w:rFonts w:ascii="Sakkal Majalla" w:hAnsi="Sakkal Majalla" w:cs="Sakkal Majalla"/>
          <w:sz w:val="32"/>
          <w:szCs w:val="32"/>
          <w:rtl/>
          <w:lang w:bidi="ar-DZ"/>
        </w:rPr>
        <w:t>في أواخر الستينيات، شهد المجتمع الأمريكي فترة الإضرابات بسبب مظاهر العنف والجريمة ، في أعقاب اغتيال القس مارتن لوثر كينج و الرئيس كيندي، حيث تزايد الاهتمام بتورط الدولة في حرب فيتنام. في عام 1968 تم تشكيل لجنة قومية أمريكية لبحث أسباب العنف والوقاية منه</w:t>
      </w:r>
      <w:r w:rsidRPr="00354DA4">
        <w:rPr>
          <w:rFonts w:ascii="Sakkal Majalla" w:hAnsi="Sakkal Majalla" w:cs="Sakkal Majalla"/>
          <w:sz w:val="32"/>
          <w:szCs w:val="32"/>
          <w:vertAlign w:val="superscript"/>
          <w:rtl/>
          <w:lang w:bidi="ar-DZ"/>
        </w:rPr>
        <w:t>(</w:t>
      </w:r>
      <w:r w:rsidRPr="00354DA4">
        <w:rPr>
          <w:rFonts w:ascii="Sakkal Majalla" w:hAnsi="Sakkal Majalla" w:cs="Sakkal Majalla"/>
          <w:sz w:val="32"/>
          <w:szCs w:val="32"/>
          <w:vertAlign w:val="superscript"/>
          <w:lang w:bidi="ar-DZ"/>
        </w:rPr>
        <w:footnoteReference w:id="33"/>
      </w:r>
      <w:r w:rsidRPr="00354DA4">
        <w:rPr>
          <w:rFonts w:ascii="Sakkal Majalla" w:hAnsi="Sakkal Majalla" w:cs="Sakkal Majalla"/>
          <w:sz w:val="32"/>
          <w:szCs w:val="32"/>
          <w:vertAlign w:val="superscript"/>
          <w:rtl/>
          <w:lang w:bidi="ar-DZ"/>
        </w:rPr>
        <w:t>)</w:t>
      </w:r>
      <w:r w:rsidRPr="00354DA4">
        <w:rPr>
          <w:rFonts w:ascii="Sakkal Majalla" w:hAnsi="Sakkal Majalla" w:cs="Sakkal Majalla"/>
          <w:sz w:val="32"/>
          <w:szCs w:val="32"/>
          <w:rtl/>
          <w:lang w:bidi="ar-DZ"/>
        </w:rPr>
        <w:t>.</w:t>
      </w:r>
    </w:p>
    <w:p w:rsidR="00955879" w:rsidRPr="00354DA4" w:rsidRDefault="00955879" w:rsidP="00955879">
      <w:pPr>
        <w:bidi/>
        <w:spacing w:line="360" w:lineRule="auto"/>
        <w:ind w:firstLine="566"/>
        <w:jc w:val="both"/>
        <w:rPr>
          <w:rFonts w:ascii="Sakkal Majalla" w:hAnsi="Sakkal Majalla" w:cs="Sakkal Majalla"/>
          <w:sz w:val="32"/>
          <w:szCs w:val="32"/>
          <w:rtl/>
        </w:rPr>
      </w:pPr>
      <w:r w:rsidRPr="00354DA4">
        <w:rPr>
          <w:rFonts w:ascii="Sakkal Majalla" w:hAnsi="Sakkal Majalla" w:cs="Sakkal Majalla"/>
          <w:sz w:val="32"/>
          <w:szCs w:val="32"/>
          <w:rtl/>
        </w:rPr>
        <w:t xml:space="preserve"> يعرف جيربز مفهوم الغرس بما تفعله الثقافة من بناء، إنها الوسيط أو المجال الذي تعيش فيه الانسانية و تتعلم، حيث تهتم العملية باكتساب المعرفة أو السلوك، من خلال الوسيط الثقافي، الذي يعيش فيه الانسان، فكأن البيئة الثقافية بأدواتها هي التي تقوم بعملية التشكيل والبناء للمفاهيم أو الرموز الثقافية في المجتمع ، ومن هذه الأدوات وسائل الإعلام التي أحتلت مكانا بارزا في عالمنا الثقافي المعاصر بأدوارها وتأثيراتها</w:t>
      </w:r>
      <w:r w:rsidRPr="00354DA4">
        <w:rPr>
          <w:rFonts w:ascii="Sakkal Majalla" w:hAnsi="Sakkal Majalla" w:cs="Sakkal Majalla"/>
          <w:sz w:val="32"/>
          <w:szCs w:val="32"/>
          <w:vertAlign w:val="superscript"/>
          <w:rtl/>
        </w:rPr>
        <w:t>(</w:t>
      </w:r>
      <w:r w:rsidRPr="00354DA4">
        <w:rPr>
          <w:rFonts w:ascii="Sakkal Majalla" w:hAnsi="Sakkal Majalla" w:cs="Sakkal Majalla"/>
          <w:sz w:val="32"/>
          <w:szCs w:val="32"/>
          <w:vertAlign w:val="superscript"/>
          <w:rtl/>
        </w:rPr>
        <w:footnoteReference w:id="34"/>
      </w:r>
      <w:r w:rsidRPr="00354DA4">
        <w:rPr>
          <w:rFonts w:ascii="Sakkal Majalla" w:hAnsi="Sakkal Majalla" w:cs="Sakkal Majalla"/>
          <w:sz w:val="32"/>
          <w:szCs w:val="32"/>
          <w:vertAlign w:val="superscript"/>
          <w:rtl/>
        </w:rPr>
        <w:t>)</w:t>
      </w:r>
      <w:r w:rsidRPr="00354DA4">
        <w:rPr>
          <w:rFonts w:ascii="Sakkal Majalla" w:hAnsi="Sakkal Majalla" w:cs="Sakkal Majalla"/>
          <w:sz w:val="32"/>
          <w:szCs w:val="32"/>
          <w:rtl/>
        </w:rPr>
        <w:t xml:space="preserve">. تستطيع وسائل الإعلام أن تغرس في أذهان </w:t>
      </w:r>
      <w:r w:rsidRPr="00354DA4">
        <w:rPr>
          <w:rFonts w:ascii="Sakkal Majalla" w:hAnsi="Sakkal Majalla" w:cs="Sakkal Majalla"/>
          <w:sz w:val="32"/>
          <w:szCs w:val="32"/>
          <w:rtl/>
        </w:rPr>
        <w:lastRenderedPageBreak/>
        <w:t>المشاهدين</w:t>
      </w:r>
      <w:r w:rsidRPr="00354DA4">
        <w:rPr>
          <w:rFonts w:ascii="Sakkal Majalla" w:hAnsi="Sakkal Majalla" w:cs="Sakkal Majalla"/>
          <w:sz w:val="32"/>
          <w:szCs w:val="32"/>
          <w:rtl/>
          <w:lang w:bidi="ar-DZ"/>
        </w:rPr>
        <w:t xml:space="preserve"> </w:t>
      </w:r>
      <w:r w:rsidRPr="00354DA4">
        <w:rPr>
          <w:rFonts w:ascii="Sakkal Majalla" w:hAnsi="Sakkal Majalla" w:cs="Sakkal Majalla"/>
          <w:sz w:val="32"/>
          <w:szCs w:val="32"/>
          <w:rtl/>
        </w:rPr>
        <w:t>و وعيهم أفكارا معينة بحيث يحل واقع التلفزيون محل الواقع الفعلي أو الطبيعي.</w:t>
      </w:r>
      <w:r w:rsidRPr="00354DA4">
        <w:rPr>
          <w:rFonts w:ascii="Sakkal Majalla" w:hAnsi="Sakkal Majalla" w:cs="Sakkal Majalla"/>
          <w:sz w:val="32"/>
          <w:szCs w:val="32"/>
          <w:vertAlign w:val="superscript"/>
          <w:lang w:bidi="ar-DZ"/>
        </w:rPr>
        <w:footnoteReference w:id="35"/>
      </w:r>
      <w:r w:rsidRPr="00354DA4">
        <w:rPr>
          <w:rFonts w:ascii="Sakkal Majalla" w:hAnsi="Sakkal Majalla" w:cs="Sakkal Majalla"/>
          <w:sz w:val="32"/>
          <w:szCs w:val="32"/>
          <w:rtl/>
        </w:rPr>
        <w:t xml:space="preserve"> فاذا كانت دراسات الغرس قد ركزت في البداية على أنتشار الجريمة، العنف وعلاقتها ببرامج التلفزيون في أمريكا، إلا أن هناك مجالا آخر لا يقل عنه أهمية في المجتمعات الساعية الى التقدم، الذي يؤكد العودة الى مناقشة قضايا الثقافة الجماهيرية وتدني الذوق العام ،او غرس المعاني والأفكار التي تسهم بطريق مباشر أو غير مباشر في تدعيم الوضع القائم . وسيطرة أصحاب المصالح على توجيه الثقافة الجماهيرية، بما يتفق مع دعم مصالحها. خصوصا في مراحل التغيير الفكري أو العقائدي، بجانب اختبار فروض هذه النظرية  في مجال انتشار الأفكار والمعاني الغريبة عن المجتمع، التي تنتشر عبر التكنولوجيا المتقدمة في وسائل الاعلام لتدعم التغيير الثقافي لصالح ثقافات خارجية أخرى</w:t>
      </w:r>
      <w:r w:rsidRPr="00354DA4">
        <w:rPr>
          <w:rFonts w:ascii="Sakkal Majalla" w:hAnsi="Sakkal Majalla" w:cs="Sakkal Majalla"/>
          <w:sz w:val="32"/>
          <w:szCs w:val="32"/>
          <w:vertAlign w:val="superscript"/>
          <w:rtl/>
        </w:rPr>
        <w:t>(</w:t>
      </w:r>
      <w:r w:rsidRPr="00354DA4">
        <w:rPr>
          <w:rFonts w:ascii="Sakkal Majalla" w:hAnsi="Sakkal Majalla" w:cs="Sakkal Majalla"/>
          <w:sz w:val="32"/>
          <w:szCs w:val="32"/>
          <w:vertAlign w:val="superscript"/>
          <w:rtl/>
        </w:rPr>
        <w:footnoteReference w:id="36"/>
      </w:r>
      <w:r w:rsidRPr="00354DA4">
        <w:rPr>
          <w:rFonts w:ascii="Sakkal Majalla" w:hAnsi="Sakkal Majalla" w:cs="Sakkal Majalla"/>
          <w:sz w:val="32"/>
          <w:szCs w:val="32"/>
          <w:vertAlign w:val="superscript"/>
          <w:rtl/>
        </w:rPr>
        <w:t>)</w:t>
      </w:r>
      <w:r w:rsidRPr="00354DA4">
        <w:rPr>
          <w:rFonts w:ascii="Sakkal Majalla" w:hAnsi="Sakkal Majalla" w:cs="Sakkal Majalla"/>
          <w:sz w:val="32"/>
          <w:szCs w:val="32"/>
          <w:rtl/>
        </w:rPr>
        <w:t>.</w:t>
      </w:r>
    </w:p>
    <w:p w:rsidR="00955879" w:rsidRPr="00354DA4" w:rsidRDefault="00955879" w:rsidP="00955879">
      <w:pPr>
        <w:bidi/>
        <w:spacing w:line="360" w:lineRule="auto"/>
        <w:ind w:firstLine="566"/>
        <w:jc w:val="both"/>
        <w:rPr>
          <w:rFonts w:ascii="Sakkal Majalla" w:hAnsi="Sakkal Majalla" w:cs="Sakkal Majalla"/>
          <w:sz w:val="32"/>
          <w:szCs w:val="32"/>
          <w:vertAlign w:val="superscript"/>
          <w:rtl/>
          <w:lang w:bidi="ar-DZ"/>
        </w:rPr>
      </w:pPr>
      <w:r w:rsidRPr="00354DA4">
        <w:rPr>
          <w:rFonts w:ascii="Sakkal Majalla" w:hAnsi="Sakkal Majalla" w:cs="Sakkal Majalla"/>
          <w:sz w:val="32"/>
          <w:szCs w:val="32"/>
          <w:rtl/>
        </w:rPr>
        <w:t xml:space="preserve">كما أظهرت بعض الدراسات عام 2005 أن اختبارات الغرس وآثارها يتم تطبيقها على الصحف أيضاً، من ثم لم يعد هناك اليوم أسس لمقارنة قوة الصحفية  مقابل قوة التليفزيون، بشأن تكوين الرؤى عن العالم الخارجي، كما أظهرت النتائج أن هذه الرؤى تتشكل نتيجة التعرض لوسائل الإعلام على مدار الأيام(....) كما حاولت بعض الدراسات الحديثة عام 2005 أن تقيس الآثار السلوكية المترتبة على مشاهدة التليفزيون و علاقتها بالصحة النفسية للأفراد قياسا بعدد الساعات التي يقضيها الفرد في مشاهدة التليفزيون، حيث توصلت النتائج إلى وجود علاقة ارتباطية قوية بين مشاهدة التليفزيون و بين الصحة النفسية للأفراد. هذا يدعم فروض الغرس التي تشير إلى أن التعرض الكثيف لمجموعة من رسائل الإعلام،  يمكن أن يؤثر في السلوك و القيم و المعتقدات و </w:t>
      </w:r>
      <w:r w:rsidRPr="00354DA4">
        <w:rPr>
          <w:rFonts w:ascii="Sakkal Majalla" w:hAnsi="Sakkal Majalla" w:cs="Sakkal Majalla"/>
          <w:sz w:val="32"/>
          <w:szCs w:val="32"/>
          <w:rtl/>
        </w:rPr>
        <w:lastRenderedPageBreak/>
        <w:t>الاتجاه، حيث تمثل عملية التعلم الاجتماعية عملية غير مباشرة ، ترتبط ارتباطاً سلبياً بالصحة النفسية للأفراد.</w:t>
      </w:r>
      <w:r w:rsidRPr="00354DA4">
        <w:rPr>
          <w:rFonts w:ascii="Sakkal Majalla" w:hAnsi="Sakkal Majalla" w:cs="Sakkal Majalla"/>
          <w:sz w:val="32"/>
          <w:szCs w:val="32"/>
          <w:vertAlign w:val="superscript"/>
          <w:lang w:bidi="ar-DZ"/>
        </w:rPr>
        <w:t>.</w:t>
      </w:r>
      <w:r w:rsidRPr="00354DA4">
        <w:rPr>
          <w:rFonts w:ascii="Sakkal Majalla" w:hAnsi="Sakkal Majalla" w:cs="Sakkal Majalla"/>
          <w:sz w:val="32"/>
          <w:szCs w:val="32"/>
          <w:vertAlign w:val="superscript"/>
          <w:lang w:bidi="ar-DZ"/>
        </w:rPr>
        <w:footnoteReference w:id="37"/>
      </w:r>
    </w:p>
    <w:p w:rsidR="00955879" w:rsidRPr="00354DA4" w:rsidRDefault="00955879" w:rsidP="00955879">
      <w:pPr>
        <w:bidi/>
        <w:spacing w:line="360" w:lineRule="auto"/>
        <w:ind w:firstLine="566"/>
        <w:jc w:val="both"/>
        <w:rPr>
          <w:rFonts w:ascii="Sakkal Majalla" w:hAnsi="Sakkal Majalla" w:cs="Sakkal Majalla"/>
          <w:b/>
          <w:bCs/>
          <w:sz w:val="32"/>
          <w:szCs w:val="32"/>
          <w:rtl/>
        </w:rPr>
      </w:pPr>
      <w:r w:rsidRPr="00354DA4">
        <w:rPr>
          <w:rFonts w:ascii="Sakkal Majalla" w:hAnsi="Sakkal Majalla" w:cs="Sakkal Majalla"/>
          <w:b/>
          <w:bCs/>
          <w:sz w:val="32"/>
          <w:szCs w:val="32"/>
          <w:rtl/>
        </w:rPr>
        <w:t>2/ توظيف نظرية الغرس الثقافي في البحوث الاعلامية:</w:t>
      </w:r>
    </w:p>
    <w:p w:rsidR="00955879" w:rsidRPr="00354DA4" w:rsidRDefault="00955879" w:rsidP="00955879">
      <w:pPr>
        <w:bidi/>
        <w:spacing w:line="360" w:lineRule="auto"/>
        <w:ind w:firstLine="566"/>
        <w:jc w:val="both"/>
        <w:rPr>
          <w:rFonts w:ascii="Sakkal Majalla" w:hAnsi="Sakkal Majalla" w:cs="Sakkal Majalla"/>
          <w:sz w:val="32"/>
          <w:szCs w:val="32"/>
          <w:rtl/>
        </w:rPr>
      </w:pPr>
      <w:r w:rsidRPr="00354DA4">
        <w:rPr>
          <w:rFonts w:ascii="Sakkal Majalla" w:hAnsi="Sakkal Majalla" w:cs="Sakkal Majalla"/>
          <w:sz w:val="32"/>
          <w:szCs w:val="32"/>
          <w:rtl/>
        </w:rPr>
        <w:t>هن</w:t>
      </w:r>
      <w:r w:rsidRPr="00354DA4">
        <w:rPr>
          <w:rFonts w:ascii="Sakkal Majalla" w:hAnsi="Sakkal Majalla" w:cs="Sakkal Majalla"/>
          <w:sz w:val="32"/>
          <w:szCs w:val="32"/>
          <w:rtl/>
          <w:lang w:bidi="ar-DZ"/>
        </w:rPr>
        <w:t>ا</w:t>
      </w:r>
      <w:r w:rsidRPr="00354DA4">
        <w:rPr>
          <w:rFonts w:ascii="Sakkal Majalla" w:hAnsi="Sakkal Majalla" w:cs="Sakkal Majalla"/>
          <w:sz w:val="32"/>
          <w:szCs w:val="32"/>
          <w:rtl/>
        </w:rPr>
        <w:t>ك</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العديد</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من</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الأمور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التي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يمكن</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أن</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تدرس</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من</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خلال</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فروض</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الغرس</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في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عالمنا</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المعاصر مثل</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تأثيرات و التبادل الثقافي. منه كان التساؤل التالي: إلى</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أي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مدى</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يشكل الغرس الثقافي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غزوا يغير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الثقافات؟ لعل التطورات</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التي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ساهمت</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أكثر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في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دعم دور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التلفزيون</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في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مجالات</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التأثير، مثل</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الأقمار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 xml:space="preserve">وتأثيراتها على الثقافات الفرعية داخل المجتمع الواحد. تأثيرات من شانها </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أن تعزز هذا</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الدور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في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تماسك المجتمع  أو تهديد هذا التماسك بتأثير مستويات التعرض، التي تفرق بين الأفراد على أساس</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درجة</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التعرض</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بما</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يخلق</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الاتجاه</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السائد</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بين</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الجماعات و</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الفئات</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على</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أساس</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درجات</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التعرض</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وليس الخصائص</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المشتركة.</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كذلك</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دور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عملية</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الغرس</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في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تدعيم</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الوضع</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الراهن</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،إضافة الى نشر الصفوة</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أو</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الطبقات</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المهيمنة،</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الأفكار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المؤيدة</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أو</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الموالية</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لمصالحها،</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بالإضافة</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إلى</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الأدوار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التي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تعتبر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امتدادا</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لدور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وسائل</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الإعلام</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في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عملية التحديث</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ونشر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الأفكار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 xml:space="preserve">الجديدة، </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بجانب</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العديد</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من</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البحوث</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التي</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تستثيرها</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فكرة</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الغرس</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لاختبار</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تأثيرات</w:t>
      </w:r>
      <w:r w:rsidRPr="00354DA4">
        <w:rPr>
          <w:rFonts w:ascii="Sakkal Majalla" w:hAnsi="Sakkal Majalla" w:cs="Sakkal Majalla"/>
          <w:sz w:val="32"/>
          <w:szCs w:val="32"/>
        </w:rPr>
        <w:t xml:space="preserve"> </w:t>
      </w:r>
      <w:r w:rsidRPr="00354DA4">
        <w:rPr>
          <w:rFonts w:ascii="Sakkal Majalla" w:hAnsi="Sakkal Majalla" w:cs="Sakkal Majalla"/>
          <w:sz w:val="32"/>
          <w:szCs w:val="32"/>
          <w:rtl/>
        </w:rPr>
        <w:t>التلفزيون.</w:t>
      </w:r>
      <w:r w:rsidRPr="00354DA4">
        <w:rPr>
          <w:rFonts w:ascii="Sakkal Majalla" w:hAnsi="Sakkal Majalla" w:cs="Sakkal Majalla"/>
          <w:sz w:val="32"/>
          <w:szCs w:val="32"/>
          <w:vertAlign w:val="superscript"/>
          <w:rtl/>
        </w:rPr>
        <w:footnoteReference w:id="38"/>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sz w:val="32"/>
          <w:szCs w:val="32"/>
          <w:rtl/>
        </w:rPr>
        <w:t>وقد حاول جبرنر وزملاؤه  تطوير نظرية الغرس الثقافي ب:</w:t>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b/>
          <w:bCs/>
          <w:sz w:val="32"/>
          <w:szCs w:val="32"/>
          <w:rtl/>
        </w:rPr>
        <w:t>1/الاتجاه السائد</w:t>
      </w:r>
      <w:r w:rsidRPr="00354DA4">
        <w:rPr>
          <w:rFonts w:ascii="Sakkal Majalla" w:hAnsi="Sakkal Majalla" w:cs="Sakkal Majalla"/>
          <w:sz w:val="32"/>
          <w:szCs w:val="32"/>
          <w:rtl/>
        </w:rPr>
        <w:t xml:space="preserve">: </w:t>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sz w:val="32"/>
          <w:szCs w:val="32"/>
          <w:rtl/>
        </w:rPr>
        <w:t xml:space="preserve">فكرة الاتجاه السائد تقوم على التقارب في وجهات النظر بين الجماعات المختلفة، اذ تميل الاختلافات التي ترجع الى عوامل ثقافية واجتماعية إلى التلاشي بين كثافتي المشاهدة، قد فسر هذا </w:t>
      </w:r>
      <w:r w:rsidRPr="00354DA4">
        <w:rPr>
          <w:rFonts w:ascii="Sakkal Majalla" w:hAnsi="Sakkal Majalla" w:cs="Sakkal Majalla"/>
          <w:sz w:val="32"/>
          <w:szCs w:val="32"/>
          <w:rtl/>
        </w:rPr>
        <w:lastRenderedPageBreak/>
        <w:t>الاتجاه، بالتلاشي والاندماج والتحول، فتتكوٌن من خلال هذا الاتجاه وجهة نظر مشتركة بين المشاهدين.</w:t>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sz w:val="32"/>
          <w:szCs w:val="32"/>
          <w:rtl/>
        </w:rPr>
        <w:t xml:space="preserve">2/التضخيم: </w:t>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sz w:val="32"/>
          <w:szCs w:val="32"/>
          <w:rtl/>
        </w:rPr>
        <w:t>المقصود به وسائل الاعلام تدعم ما يحدث في الحياة اليومية، أي أن ادراك الأفراد للعالم من خلال الصور التي تقدمها وسائل الاعلام يتطابق مع ادراكهم للواقع الاجتماعي، الذي قد يؤدي الى تأكيد عملية العرض.</w:t>
      </w:r>
      <w:r w:rsidRPr="00354DA4">
        <w:rPr>
          <w:rStyle w:val="Appelnotedebasdep"/>
          <w:rFonts w:ascii="Sakkal Majalla" w:hAnsi="Sakkal Majalla" w:cs="Sakkal Majalla"/>
          <w:sz w:val="32"/>
          <w:szCs w:val="32"/>
          <w:rtl/>
        </w:rPr>
        <w:footnoteReference w:id="39"/>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b/>
          <w:bCs/>
          <w:sz w:val="32"/>
          <w:szCs w:val="32"/>
          <w:rtl/>
        </w:rPr>
        <w:t>3/ الانتقادات التي وجهت لنظرية الغرس الثقافي</w:t>
      </w:r>
      <w:r w:rsidRPr="00354DA4">
        <w:rPr>
          <w:rFonts w:ascii="Sakkal Majalla" w:hAnsi="Sakkal Majalla" w:cs="Sakkal Majalla"/>
          <w:sz w:val="32"/>
          <w:szCs w:val="32"/>
          <w:rtl/>
        </w:rPr>
        <w:t>:</w:t>
      </w:r>
    </w:p>
    <w:p w:rsidR="00955879" w:rsidRPr="00354DA4" w:rsidRDefault="00955879" w:rsidP="00955879">
      <w:pPr>
        <w:bidi/>
        <w:spacing w:line="360" w:lineRule="auto"/>
        <w:jc w:val="both"/>
        <w:rPr>
          <w:rFonts w:ascii="Sakkal Majalla" w:hAnsi="Sakkal Majalla" w:cs="Sakkal Majalla"/>
          <w:sz w:val="32"/>
          <w:szCs w:val="32"/>
          <w:rtl/>
        </w:rPr>
      </w:pPr>
      <w:r w:rsidRPr="00354DA4">
        <w:rPr>
          <w:rFonts w:ascii="Sakkal Majalla" w:hAnsi="Sakkal Majalla" w:cs="Sakkal Majalla"/>
          <w:sz w:val="32"/>
          <w:szCs w:val="32"/>
          <w:rtl/>
        </w:rPr>
        <w:t>انصبت معظم الانتقادات تجاه هذه النظرية من خلال التأكيد على أن للتلفزيون مساهمات كبيرة في خلق التصورات عن الواقع الذي يعيشه الفرد والمجتمع، إذ نجد من بين منتقديها كل من دوب، كادولاند ، هيرش و هيوج. فقد طالب كل من دوب و هيرش على  ضرورة مراجعة العلاقة بين التلفزيون و المشاهد. لقد توصل هيرش في دراسته الى أن العلاقة الانمائية ليست خطية أو تصاعدية مع نسبة المشاهدة، بل هي منحنية خطية تقارب اتجاهات عديمي المشاهدة و المدمنين أكثر من تقارب أي صنفين متتاليين  من الأصناف الأخرى. شكك هيوج في فرضيات جربنر، ففي نظره ليس للتلفزيون علاقة بالخوف والاغتراب، أي نسبة المشاهدين للتلفزيون ليست سببا، بل هي نتيجة لمحددات أخرى أهم من مؤشرات انحراف الأحداث الذي ذكرها دوب ومكادولاند.</w:t>
      </w:r>
      <w:r w:rsidRPr="00354DA4">
        <w:rPr>
          <w:rStyle w:val="Appelnotedebasdep"/>
          <w:rFonts w:ascii="Sakkal Majalla" w:hAnsi="Sakkal Majalla" w:cs="Sakkal Majalla"/>
          <w:sz w:val="32"/>
          <w:szCs w:val="32"/>
          <w:rtl/>
        </w:rPr>
        <w:footnoteReference w:id="40"/>
      </w:r>
    </w:p>
    <w:p w:rsidR="00955879" w:rsidRDefault="00955879" w:rsidP="00955879">
      <w:pPr>
        <w:tabs>
          <w:tab w:val="right" w:pos="708"/>
        </w:tabs>
        <w:bidi/>
        <w:spacing w:after="0" w:line="360" w:lineRule="auto"/>
        <w:jc w:val="both"/>
        <w:rPr>
          <w:rFonts w:ascii="Sakkal Majalla" w:hAnsi="Sakkal Majalla" w:cs="Sakkal Majalla"/>
          <w:sz w:val="32"/>
          <w:szCs w:val="32"/>
          <w:lang w:bidi="ar-DZ"/>
        </w:rPr>
      </w:pPr>
    </w:p>
    <w:p w:rsidR="00955879" w:rsidRPr="00DE6BEC" w:rsidRDefault="00955879" w:rsidP="00955879">
      <w:pPr>
        <w:tabs>
          <w:tab w:val="right" w:pos="708"/>
        </w:tabs>
        <w:bidi/>
        <w:spacing w:after="0" w:line="360" w:lineRule="auto"/>
        <w:ind w:left="-2" w:firstLine="285"/>
        <w:jc w:val="both"/>
        <w:rPr>
          <w:rFonts w:ascii="Sakkal Majalla" w:hAnsi="Sakkal Majalla" w:cs="Sakkal Majalla"/>
          <w:sz w:val="32"/>
          <w:szCs w:val="32"/>
          <w:rtl/>
          <w:lang w:bidi="ar-DZ"/>
        </w:rPr>
      </w:pPr>
    </w:p>
    <w:p w:rsidR="000A261E" w:rsidRPr="00DE6BEC" w:rsidRDefault="000A261E" w:rsidP="0028600A">
      <w:pPr>
        <w:bidi/>
        <w:jc w:val="both"/>
        <w:rPr>
          <w:sz w:val="32"/>
          <w:szCs w:val="32"/>
          <w:lang w:bidi="ar-DZ"/>
        </w:rPr>
      </w:pPr>
    </w:p>
    <w:sectPr w:rsidR="000A261E" w:rsidRPr="00DE6BEC" w:rsidSect="005C3299">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18" w:left="1418" w:header="709" w:footer="709" w:gutter="0"/>
      <w:pgNumType w:start="12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6CD" w:rsidRDefault="009666CD" w:rsidP="0028600A">
      <w:pPr>
        <w:spacing w:after="0" w:line="240" w:lineRule="auto"/>
      </w:pPr>
      <w:r>
        <w:separator/>
      </w:r>
    </w:p>
  </w:endnote>
  <w:endnote w:type="continuationSeparator" w:id="1">
    <w:p w:rsidR="009666CD" w:rsidRDefault="009666CD" w:rsidP="002860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299" w:rsidRDefault="005C329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6749"/>
      <w:docPartObj>
        <w:docPartGallery w:val="Page Numbers (Bottom of Page)"/>
        <w:docPartUnique/>
      </w:docPartObj>
    </w:sdtPr>
    <w:sdtContent>
      <w:p w:rsidR="005C3299" w:rsidRDefault="003624D6">
        <w:pPr>
          <w:pStyle w:val="Pieddepage"/>
        </w:pPr>
        <w:r w:rsidRPr="003624D6">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2049" type="#_x0000_t92" style="position:absolute;margin-left:0;margin-top:0;width:48.8pt;height:33.35pt;rotation:360;z-index:251661312;mso-position-horizontal:center;mso-position-horizontal-relative:margin;mso-position-vertical:center;mso-position-vertical-relative:bottom-margin-area" fillcolor="white [3212]" strokecolor="#a5a5a5 [2092]">
              <v:textbox>
                <w:txbxContent>
                  <w:p w:rsidR="005C3299" w:rsidRDefault="003624D6">
                    <w:pPr>
                      <w:jc w:val="center"/>
                    </w:pPr>
                    <w:fldSimple w:instr=" PAGE    \* MERGEFORMAT ">
                      <w:r w:rsidR="00955879" w:rsidRPr="00955879">
                        <w:rPr>
                          <w:noProof/>
                          <w:color w:val="7F7F7F" w:themeColor="background1" w:themeShade="7F"/>
                        </w:rPr>
                        <w:t>138</w:t>
                      </w:r>
                    </w:fldSimple>
                  </w:p>
                </w:txbxContent>
              </v:textbox>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299" w:rsidRDefault="005C329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6CD" w:rsidRDefault="009666CD" w:rsidP="0028600A">
      <w:pPr>
        <w:bidi/>
        <w:spacing w:after="0" w:line="240" w:lineRule="auto"/>
      </w:pPr>
      <w:r>
        <w:separator/>
      </w:r>
    </w:p>
  </w:footnote>
  <w:footnote w:type="continuationSeparator" w:id="1">
    <w:p w:rsidR="009666CD" w:rsidRDefault="009666CD" w:rsidP="0028600A">
      <w:pPr>
        <w:spacing w:after="0" w:line="240" w:lineRule="auto"/>
      </w:pPr>
      <w:r>
        <w:continuationSeparator/>
      </w:r>
    </w:p>
  </w:footnote>
  <w:footnote w:id="2">
    <w:p w:rsidR="0028600A" w:rsidRDefault="0028600A" w:rsidP="0028600A">
      <w:pPr>
        <w:pStyle w:val="Notedebasdepage"/>
        <w:rPr>
          <w:rtl/>
          <w:lang w:bidi="ar-DZ"/>
        </w:rPr>
      </w:pPr>
      <w:r>
        <w:rPr>
          <w:rStyle w:val="Appelnotedebasdep"/>
        </w:rPr>
        <w:footnoteRef/>
      </w:r>
      <w:r>
        <w:rPr>
          <w:rFonts w:hint="cs"/>
          <w:rtl/>
          <w:lang w:bidi="ar-DZ"/>
        </w:rPr>
        <w:t>بسام عبد الرحمان المشاقبة: مرجع سبق ذكره، ص175،174.</w:t>
      </w:r>
    </w:p>
  </w:footnote>
  <w:footnote w:id="3">
    <w:p w:rsidR="0028600A" w:rsidRDefault="0028600A" w:rsidP="0028600A">
      <w:pPr>
        <w:pStyle w:val="Notedebasdepage"/>
      </w:pPr>
      <w:r>
        <w:rPr>
          <w:rStyle w:val="Appelnotedebasdep"/>
        </w:rPr>
        <w:footnoteRef/>
      </w:r>
      <w:r>
        <w:rPr>
          <w:rFonts w:hint="cs"/>
          <w:rtl/>
        </w:rPr>
        <w:t>سعيدة عباس: مدخل إلى علم الإعلام والاتصال، مطبوعة بيداغوجية موجهة لطلبة سنة أولى جذع مشترك علوم إسلامية، كلية العلوم الإسلامية، جامعة باتنة 1، الجزائر، 2020/2021، ص36.</w:t>
      </w:r>
    </w:p>
  </w:footnote>
  <w:footnote w:id="4">
    <w:p w:rsidR="0028600A" w:rsidRDefault="0028600A" w:rsidP="0028600A">
      <w:pPr>
        <w:pStyle w:val="Notedebasdepage"/>
      </w:pPr>
      <w:r>
        <w:rPr>
          <w:rStyle w:val="Appelnotedebasdep"/>
        </w:rPr>
        <w:footnoteRef/>
      </w:r>
      <w:r>
        <w:rPr>
          <w:rFonts w:hint="cs"/>
          <w:rtl/>
        </w:rPr>
        <w:t>المرجع نفسه: ص ن.</w:t>
      </w:r>
    </w:p>
  </w:footnote>
  <w:footnote w:id="5">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ميلفين ديفلير، ساندرا بول روكيتش، </w:t>
      </w:r>
      <w:r w:rsidRPr="00612AB0">
        <w:rPr>
          <w:rFonts w:cs="Traditional Arabic" w:hint="cs"/>
          <w:b/>
          <w:bCs/>
          <w:sz w:val="24"/>
          <w:szCs w:val="24"/>
          <w:u w:val="single"/>
          <w:rtl/>
          <w:lang w:bidi="ar-DZ"/>
        </w:rPr>
        <w:t>نظريات وسائل الإعلام</w:t>
      </w:r>
      <w:r w:rsidRPr="00612AB0">
        <w:rPr>
          <w:rFonts w:cs="Traditional Arabic" w:hint="cs"/>
          <w:sz w:val="24"/>
          <w:szCs w:val="24"/>
          <w:rtl/>
          <w:lang w:bidi="ar-DZ"/>
        </w:rPr>
        <w:t xml:space="preserve">، ترجمة، كمال عبد الرؤوف، الدار الدولية للنشر والتوزيع، مصر، 1993، ص-ص. 234 </w:t>
      </w:r>
      <w:r w:rsidRPr="00612AB0">
        <w:rPr>
          <w:rFonts w:cs="Traditional Arabic"/>
          <w:sz w:val="24"/>
          <w:szCs w:val="24"/>
          <w:lang w:bidi="ar-DZ"/>
        </w:rPr>
        <w:t>-</w:t>
      </w:r>
      <w:r w:rsidRPr="00612AB0">
        <w:rPr>
          <w:rFonts w:cs="Traditional Arabic" w:hint="cs"/>
          <w:sz w:val="24"/>
          <w:szCs w:val="24"/>
          <w:rtl/>
          <w:lang w:bidi="ar-DZ"/>
        </w:rPr>
        <w:t xml:space="preserve"> 235.</w:t>
      </w:r>
    </w:p>
  </w:footnote>
  <w:footnote w:id="6">
    <w:p w:rsidR="0028600A" w:rsidRPr="00612AB0" w:rsidRDefault="0028600A" w:rsidP="0028600A">
      <w:pPr>
        <w:pStyle w:val="Notedebasdepage"/>
        <w:ind w:left="-2"/>
        <w:rPr>
          <w:rFonts w:cs="Traditional Arabic"/>
          <w:sz w:val="24"/>
          <w:szCs w:val="24"/>
          <w:rtl/>
          <w:lang w:val="fr-FR" w:bidi="ar-DZ"/>
        </w:rPr>
      </w:pPr>
      <w:r w:rsidRPr="00612AB0">
        <w:rPr>
          <w:rFonts w:cs="Traditional Arabic" w:hint="cs"/>
          <w:sz w:val="24"/>
          <w:szCs w:val="24"/>
          <w:rtl/>
          <w:lang w:val="fr-FR" w:bidi="ar-DZ"/>
        </w:rPr>
        <w:t xml:space="preserve">تاريخ الزيارة </w:t>
      </w:r>
      <w:r>
        <w:rPr>
          <w:rFonts w:cs="Traditional Arabic"/>
          <w:sz w:val="24"/>
          <w:szCs w:val="24"/>
          <w:lang w:val="fr-FR" w:bidi="ar-DZ"/>
        </w:rPr>
        <w:t>1</w:t>
      </w:r>
      <w:r w:rsidRPr="00612AB0">
        <w:rPr>
          <w:rFonts w:cs="Traditional Arabic" w:hint="cs"/>
          <w:sz w:val="24"/>
          <w:szCs w:val="24"/>
          <w:rtl/>
          <w:lang w:val="fr-FR" w:bidi="ar-DZ"/>
        </w:rPr>
        <w:t>1/</w:t>
      </w:r>
      <w:r>
        <w:rPr>
          <w:rFonts w:cs="Traditional Arabic"/>
          <w:sz w:val="24"/>
          <w:szCs w:val="24"/>
          <w:lang w:val="fr-FR" w:bidi="ar-DZ"/>
        </w:rPr>
        <w:t>05</w:t>
      </w:r>
      <w:r w:rsidRPr="00612AB0">
        <w:rPr>
          <w:rFonts w:cs="Traditional Arabic" w:hint="cs"/>
          <w:sz w:val="24"/>
          <w:szCs w:val="24"/>
          <w:rtl/>
          <w:lang w:val="fr-FR" w:bidi="ar-DZ"/>
        </w:rPr>
        <w:t>/</w:t>
      </w:r>
      <w:r>
        <w:rPr>
          <w:rFonts w:cs="Traditional Arabic"/>
          <w:sz w:val="24"/>
          <w:szCs w:val="24"/>
          <w:lang w:val="fr-FR" w:bidi="ar-DZ"/>
        </w:rPr>
        <w:t>2015</w:t>
      </w:r>
      <w:r w:rsidRPr="00612AB0">
        <w:rPr>
          <w:rFonts w:cs="Traditional Arabic" w:hint="cs"/>
          <w:sz w:val="24"/>
          <w:szCs w:val="24"/>
          <w:rtl/>
          <w:lang w:val="fr-FR" w:bidi="ar-DZ"/>
        </w:rPr>
        <w:t xml:space="preserve">   </w:t>
      </w:r>
      <w:r w:rsidRPr="00612AB0">
        <w:rPr>
          <w:rFonts w:cs="Traditional Arabic"/>
          <w:sz w:val="24"/>
          <w:szCs w:val="24"/>
          <w:rtl/>
          <w:lang w:bidi="ar-DZ"/>
        </w:rPr>
        <w:t>،</w:t>
      </w:r>
      <w:r w:rsidRPr="00612AB0">
        <w:rPr>
          <w:rFonts w:cs="Traditional Arabic"/>
          <w:sz w:val="24"/>
          <w:szCs w:val="24"/>
          <w:lang w:bidi="ar-DZ"/>
        </w:rPr>
        <w:t>//www.stevewlb.zen.co.uk/college/booklets/audiances.htm</w:t>
      </w:r>
      <w:r w:rsidRPr="00612AB0">
        <w:rPr>
          <w:rFonts w:cs="Traditional Arabic" w:hint="cs"/>
          <w:sz w:val="24"/>
          <w:szCs w:val="24"/>
          <w:rtl/>
          <w:lang w:bidi="ar-DZ"/>
        </w:rPr>
        <w:t xml:space="preserve"> </w:t>
      </w:r>
      <w:r w:rsidRPr="00612AB0">
        <w:rPr>
          <w:rFonts w:cs="Traditional Arabic" w:hint="cs"/>
          <w:sz w:val="24"/>
          <w:szCs w:val="24"/>
          <w:rtl/>
          <w:lang w:val="fr-FR" w:bidi="ar-DZ"/>
        </w:rPr>
        <w:t xml:space="preserve"> </w:t>
      </w: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sz w:val="24"/>
          <w:szCs w:val="24"/>
          <w:lang w:bidi="ar-DZ"/>
        </w:rPr>
        <w:t>http</w:t>
      </w:r>
      <w:r w:rsidRPr="00612AB0">
        <w:rPr>
          <w:rFonts w:cs="Traditional Arabic" w:hint="cs"/>
          <w:sz w:val="24"/>
          <w:szCs w:val="24"/>
          <w:rtl/>
          <w:lang w:val="fr-FR" w:bidi="ar-DZ"/>
        </w:rPr>
        <w:t xml:space="preserve">   </w:t>
      </w:r>
    </w:p>
  </w:footnote>
  <w:footnote w:id="7">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حمدي حسن، </w:t>
      </w:r>
      <w:r w:rsidRPr="00612AB0">
        <w:rPr>
          <w:rFonts w:cs="Traditional Arabic" w:hint="cs"/>
          <w:b/>
          <w:bCs/>
          <w:sz w:val="24"/>
          <w:szCs w:val="24"/>
          <w:u w:val="single"/>
          <w:rtl/>
          <w:lang w:bidi="ar-DZ"/>
        </w:rPr>
        <w:t>مقدمة في دراسة وسائل وأساليب الاتصال</w:t>
      </w:r>
      <w:r w:rsidRPr="00612AB0">
        <w:rPr>
          <w:rFonts w:cs="Traditional Arabic" w:hint="cs"/>
          <w:sz w:val="24"/>
          <w:szCs w:val="24"/>
          <w:rtl/>
          <w:lang w:bidi="ar-DZ"/>
        </w:rPr>
        <w:t>، الفكر العربي، مصر، 1987، ص. 144.</w:t>
      </w:r>
    </w:p>
  </w:footnote>
  <w:footnote w:id="8">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w:t>
      </w:r>
      <w:r w:rsidRPr="00612AB0">
        <w:rPr>
          <w:rFonts w:cs="Traditional Arabic" w:hint="cs"/>
          <w:b/>
          <w:bCs/>
          <w:sz w:val="24"/>
          <w:szCs w:val="24"/>
          <w:u w:val="single"/>
          <w:rtl/>
          <w:lang w:bidi="ar-DZ"/>
        </w:rPr>
        <w:t xml:space="preserve">المرجع </w:t>
      </w:r>
      <w:r>
        <w:rPr>
          <w:rFonts w:cs="Traditional Arabic" w:hint="cs"/>
          <w:b/>
          <w:bCs/>
          <w:sz w:val="24"/>
          <w:szCs w:val="24"/>
          <w:u w:val="single"/>
          <w:rtl/>
          <w:lang w:bidi="ar-DZ"/>
        </w:rPr>
        <w:t>نفسه</w:t>
      </w:r>
      <w:r w:rsidRPr="00612AB0">
        <w:rPr>
          <w:rFonts w:cs="Traditional Arabic" w:hint="cs"/>
          <w:sz w:val="24"/>
          <w:szCs w:val="24"/>
          <w:rtl/>
          <w:lang w:bidi="ar-DZ"/>
        </w:rPr>
        <w:t>، ص. 116.</w:t>
      </w:r>
    </w:p>
  </w:footnote>
  <w:footnote w:id="9">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محمد عبد الرحمن الحصيف، </w:t>
      </w:r>
      <w:r w:rsidRPr="00612AB0">
        <w:rPr>
          <w:rFonts w:cs="Traditional Arabic" w:hint="cs"/>
          <w:b/>
          <w:bCs/>
          <w:sz w:val="24"/>
          <w:szCs w:val="24"/>
          <w:u w:val="single"/>
          <w:rtl/>
          <w:lang w:bidi="ar-DZ"/>
        </w:rPr>
        <w:t>كيف تؤثر وسائل الإعلام</w:t>
      </w:r>
      <w:r w:rsidRPr="00612AB0">
        <w:rPr>
          <w:rFonts w:cs="Traditional Arabic" w:hint="cs"/>
          <w:sz w:val="24"/>
          <w:szCs w:val="24"/>
          <w:rtl/>
          <w:lang w:bidi="ar-DZ"/>
        </w:rPr>
        <w:t>، ط</w:t>
      </w:r>
      <w:r w:rsidRPr="00612AB0">
        <w:rPr>
          <w:rFonts w:cs="Traditional Arabic" w:hint="cs"/>
          <w:sz w:val="24"/>
          <w:szCs w:val="24"/>
          <w:vertAlign w:val="subscript"/>
          <w:rtl/>
          <w:lang w:bidi="ar-DZ"/>
        </w:rPr>
        <w:t>2</w:t>
      </w:r>
      <w:r w:rsidRPr="00612AB0">
        <w:rPr>
          <w:rFonts w:cs="Traditional Arabic" w:hint="cs"/>
          <w:sz w:val="24"/>
          <w:szCs w:val="24"/>
          <w:rtl/>
          <w:lang w:bidi="ar-DZ"/>
        </w:rPr>
        <w:t>، مكتبة العبيكان، السعودية، 1998، ص</w:t>
      </w:r>
      <w:r w:rsidRPr="00612AB0">
        <w:rPr>
          <w:rFonts w:cs="Traditional Arabic"/>
          <w:sz w:val="24"/>
          <w:szCs w:val="24"/>
          <w:lang w:bidi="ar-DZ"/>
        </w:rPr>
        <w:t>-</w:t>
      </w:r>
      <w:r w:rsidRPr="00612AB0">
        <w:rPr>
          <w:rFonts w:cs="Traditional Arabic" w:hint="cs"/>
          <w:sz w:val="24"/>
          <w:szCs w:val="24"/>
          <w:rtl/>
          <w:lang w:bidi="ar-DZ"/>
        </w:rPr>
        <w:t>ص. 16-17.</w:t>
      </w:r>
    </w:p>
  </w:footnote>
  <w:footnote w:id="10">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حسن عماد مكاوي، ليلى حسني السيد، </w:t>
      </w:r>
      <w:r w:rsidRPr="00612AB0">
        <w:rPr>
          <w:rFonts w:cs="Traditional Arabic" w:hint="cs"/>
          <w:b/>
          <w:bCs/>
          <w:sz w:val="24"/>
          <w:szCs w:val="24"/>
          <w:u w:val="single"/>
          <w:rtl/>
          <w:lang w:bidi="ar-DZ"/>
        </w:rPr>
        <w:t>الاتصال ونظرياته المعاصرة</w:t>
      </w:r>
      <w:r w:rsidRPr="00612AB0">
        <w:rPr>
          <w:rFonts w:cs="Traditional Arabic" w:hint="cs"/>
          <w:sz w:val="24"/>
          <w:szCs w:val="24"/>
          <w:rtl/>
          <w:lang w:bidi="ar-DZ"/>
        </w:rPr>
        <w:t>، ط2،  الدار المصرية اللبنانية، مصر، 2001، ص. 223.</w:t>
      </w:r>
    </w:p>
  </w:footnote>
  <w:footnote w:id="11">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حمدي حسن، </w:t>
      </w:r>
      <w:r w:rsidRPr="00612AB0">
        <w:rPr>
          <w:rFonts w:cs="Traditional Arabic" w:hint="cs"/>
          <w:b/>
          <w:bCs/>
          <w:sz w:val="24"/>
          <w:szCs w:val="24"/>
          <w:u w:val="single"/>
          <w:rtl/>
          <w:lang w:bidi="ar-DZ"/>
        </w:rPr>
        <w:t>مقدمة في دراسة وسائل وأساليب الاتصال</w:t>
      </w:r>
      <w:r w:rsidRPr="00612AB0">
        <w:rPr>
          <w:rFonts w:cs="Traditional Arabic" w:hint="cs"/>
          <w:sz w:val="24"/>
          <w:szCs w:val="24"/>
          <w:rtl/>
          <w:lang w:bidi="ar-DZ"/>
        </w:rPr>
        <w:t xml:space="preserve">، مرجع سابق، ص-ص. 114-115. </w:t>
      </w:r>
    </w:p>
  </w:footnote>
  <w:footnote w:id="12">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مرزوق عبد الحكم العادلي</w:t>
      </w:r>
      <w:r w:rsidRPr="00612AB0">
        <w:rPr>
          <w:rFonts w:cs="Traditional Arabic" w:hint="cs"/>
          <w:b/>
          <w:bCs/>
          <w:sz w:val="24"/>
          <w:szCs w:val="24"/>
          <w:u w:val="single"/>
          <w:rtl/>
          <w:lang w:bidi="ar-DZ"/>
        </w:rPr>
        <w:t>، مرجع سابق</w:t>
      </w:r>
      <w:r w:rsidRPr="00612AB0">
        <w:rPr>
          <w:rFonts w:cs="Traditional Arabic" w:hint="cs"/>
          <w:sz w:val="24"/>
          <w:szCs w:val="24"/>
          <w:rtl/>
          <w:lang w:bidi="ar-DZ"/>
        </w:rPr>
        <w:t>، ص. 89.</w:t>
      </w:r>
    </w:p>
  </w:footnote>
  <w:footnote w:id="13">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محمد عبد الرحمن الحصيف</w:t>
      </w:r>
      <w:r w:rsidRPr="00612AB0">
        <w:rPr>
          <w:rFonts w:cs="Traditional Arabic" w:hint="cs"/>
          <w:b/>
          <w:bCs/>
          <w:sz w:val="24"/>
          <w:szCs w:val="24"/>
          <w:u w:val="single"/>
          <w:rtl/>
          <w:lang w:bidi="ar-DZ"/>
        </w:rPr>
        <w:t>، مرجع سابق</w:t>
      </w:r>
      <w:r w:rsidRPr="00612AB0">
        <w:rPr>
          <w:rFonts w:cs="Traditional Arabic" w:hint="cs"/>
          <w:sz w:val="24"/>
          <w:szCs w:val="24"/>
          <w:rtl/>
          <w:lang w:bidi="ar-DZ"/>
        </w:rPr>
        <w:t>، ص. 17.</w:t>
      </w:r>
    </w:p>
  </w:footnote>
  <w:footnote w:id="14">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صالح خليل أبو أصبع، </w:t>
      </w:r>
      <w:r w:rsidRPr="00612AB0">
        <w:rPr>
          <w:rFonts w:cs="Traditional Arabic" w:hint="cs"/>
          <w:b/>
          <w:bCs/>
          <w:sz w:val="24"/>
          <w:szCs w:val="24"/>
          <w:u w:val="single"/>
          <w:rtl/>
          <w:lang w:bidi="ar-DZ"/>
        </w:rPr>
        <w:t>الاتصال الجماهيري</w:t>
      </w:r>
      <w:r w:rsidRPr="00612AB0">
        <w:rPr>
          <w:rFonts w:cs="Traditional Arabic" w:hint="cs"/>
          <w:sz w:val="24"/>
          <w:szCs w:val="24"/>
          <w:rtl/>
          <w:lang w:bidi="ar-DZ"/>
        </w:rPr>
        <w:t>، دار الشروق، الأردن، 1999، ص. 203.</w:t>
      </w:r>
    </w:p>
  </w:footnote>
  <w:footnote w:id="15">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ميلفين ديفلير، ساندرا بول روكيتش، </w:t>
      </w:r>
      <w:r w:rsidRPr="00612AB0">
        <w:rPr>
          <w:rFonts w:cs="Traditional Arabic" w:hint="cs"/>
          <w:b/>
          <w:bCs/>
          <w:sz w:val="24"/>
          <w:szCs w:val="24"/>
          <w:u w:val="single"/>
          <w:rtl/>
          <w:lang w:bidi="ar-DZ"/>
        </w:rPr>
        <w:t>مرجع سابق</w:t>
      </w:r>
      <w:r w:rsidRPr="00612AB0">
        <w:rPr>
          <w:rFonts w:cs="Traditional Arabic" w:hint="cs"/>
          <w:sz w:val="24"/>
          <w:szCs w:val="24"/>
          <w:rtl/>
          <w:lang w:bidi="ar-DZ"/>
        </w:rPr>
        <w:t>، ص. 241.</w:t>
      </w:r>
    </w:p>
  </w:footnote>
  <w:footnote w:id="16">
    <w:p w:rsidR="0028600A" w:rsidRPr="00612AB0" w:rsidRDefault="0028600A" w:rsidP="0028600A">
      <w:pPr>
        <w:pStyle w:val="Notedebasdepage"/>
        <w:ind w:left="-2"/>
        <w:rPr>
          <w:rFonts w:cs="Traditional Arabic"/>
          <w:sz w:val="24"/>
          <w:szCs w:val="24"/>
          <w:rtl/>
          <w:lang w:bidi="ar-DZ"/>
        </w:rPr>
      </w:pPr>
      <w:r w:rsidRPr="00612AB0">
        <w:rPr>
          <w:rStyle w:val="Appelnotedebasdep"/>
          <w:rFonts w:cs="Traditional Arabic"/>
          <w:sz w:val="24"/>
          <w:szCs w:val="24"/>
        </w:rPr>
        <w:footnoteRef/>
      </w:r>
      <w:r w:rsidRPr="00612AB0">
        <w:rPr>
          <w:rFonts w:cs="Traditional Arabic"/>
          <w:sz w:val="24"/>
          <w:szCs w:val="24"/>
        </w:rPr>
        <w:t xml:space="preserve"> </w:t>
      </w:r>
      <w:r w:rsidRPr="00612AB0">
        <w:rPr>
          <w:rFonts w:cs="Traditional Arabic" w:hint="cs"/>
          <w:sz w:val="24"/>
          <w:szCs w:val="24"/>
          <w:rtl/>
          <w:lang w:bidi="ar-DZ"/>
        </w:rPr>
        <w:t xml:space="preserve"> ميلفين ديفلير، ساندرا بول روكيتش، </w:t>
      </w:r>
      <w:r w:rsidRPr="00612AB0">
        <w:rPr>
          <w:rFonts w:cs="Traditional Arabic" w:hint="cs"/>
          <w:b/>
          <w:bCs/>
          <w:sz w:val="24"/>
          <w:szCs w:val="24"/>
          <w:u w:val="single"/>
          <w:rtl/>
          <w:lang w:bidi="ar-DZ"/>
        </w:rPr>
        <w:t>المرجع السابق</w:t>
      </w:r>
      <w:r w:rsidRPr="00612AB0">
        <w:rPr>
          <w:rFonts w:cs="Traditional Arabic" w:hint="cs"/>
          <w:sz w:val="24"/>
          <w:szCs w:val="24"/>
          <w:rtl/>
          <w:lang w:bidi="ar-DZ"/>
        </w:rPr>
        <w:t>، ص. 245.</w:t>
      </w:r>
    </w:p>
  </w:footnote>
  <w:footnote w:id="17">
    <w:p w:rsidR="00955879" w:rsidRDefault="00955879" w:rsidP="00955879">
      <w:pPr>
        <w:pStyle w:val="Notedebasdepage"/>
      </w:pPr>
      <w:r>
        <w:rPr>
          <w:rFonts w:ascii="Simplified Arabic" w:hAnsi="Simplified Arabic" w:cs="Simplified Arabic" w:hint="cs"/>
          <w:sz w:val="24"/>
          <w:szCs w:val="24"/>
          <w:rtl/>
        </w:rPr>
        <w:t>-</w:t>
      </w:r>
      <w:r w:rsidRPr="00914631">
        <w:rPr>
          <w:rStyle w:val="Appelnotedebasdep"/>
          <w:rFonts w:ascii="Simplified Arabic" w:hAnsi="Simplified Arabic" w:cs="Simplified Arabic"/>
          <w:sz w:val="24"/>
          <w:szCs w:val="24"/>
        </w:rPr>
        <w:footnoteRef/>
      </w:r>
      <w:r w:rsidRPr="00914631">
        <w:rPr>
          <w:rFonts w:ascii="Simplified Arabic" w:hAnsi="Simplified Arabic" w:cs="Simplified Arabic"/>
          <w:sz w:val="24"/>
          <w:szCs w:val="24"/>
          <w:rtl/>
        </w:rPr>
        <w:t xml:space="preserve"> أنظر بسام عبد الرحمن المشابقة،</w:t>
      </w:r>
      <w:r>
        <w:rPr>
          <w:rFonts w:ascii="Simplified Arabic" w:hAnsi="Simplified Arabic" w:cs="Simplified Arabic" w:hint="cs"/>
          <w:sz w:val="24"/>
          <w:szCs w:val="24"/>
          <w:rtl/>
        </w:rPr>
        <w:t xml:space="preserve"> </w:t>
      </w:r>
      <w:r w:rsidRPr="00E8576E">
        <w:rPr>
          <w:rFonts w:ascii="Simplified Arabic" w:hAnsi="Simplified Arabic" w:cs="Simplified Arabic"/>
          <w:b/>
          <w:bCs/>
          <w:sz w:val="24"/>
          <w:szCs w:val="24"/>
          <w:rtl/>
        </w:rPr>
        <w:t>ن</w:t>
      </w:r>
      <w:r w:rsidRPr="00914631">
        <w:rPr>
          <w:rFonts w:ascii="Simplified Arabic" w:hAnsi="Simplified Arabic" w:cs="Simplified Arabic"/>
          <w:b/>
          <w:bCs/>
          <w:sz w:val="24"/>
          <w:szCs w:val="24"/>
          <w:u w:val="single"/>
          <w:rtl/>
        </w:rPr>
        <w:t>ظريات الاعلام</w:t>
      </w:r>
      <w:r>
        <w:rPr>
          <w:rFonts w:ascii="Simplified Arabic" w:hAnsi="Simplified Arabic" w:cs="Simplified Arabic" w:hint="cs"/>
          <w:b/>
          <w:bCs/>
          <w:sz w:val="24"/>
          <w:szCs w:val="24"/>
          <w:u w:val="single"/>
          <w:rtl/>
        </w:rPr>
        <w:t xml:space="preserve"> </w:t>
      </w:r>
      <w:r w:rsidRPr="00914631">
        <w:rPr>
          <w:rFonts w:ascii="Simplified Arabic" w:hAnsi="Simplified Arabic" w:cs="Simplified Arabic"/>
          <w:sz w:val="24"/>
          <w:szCs w:val="24"/>
          <w:rtl/>
        </w:rPr>
        <w:t>،دار أسامة ،عمان،</w:t>
      </w:r>
      <w:r>
        <w:rPr>
          <w:rFonts w:ascii="Simplified Arabic" w:hAnsi="Simplified Arabic" w:cs="Simplified Arabic" w:hint="cs"/>
          <w:sz w:val="24"/>
          <w:szCs w:val="24"/>
          <w:rtl/>
        </w:rPr>
        <w:t xml:space="preserve"> </w:t>
      </w:r>
      <w:r w:rsidRPr="00914631">
        <w:rPr>
          <w:rFonts w:ascii="Simplified Arabic" w:hAnsi="Simplified Arabic" w:cs="Simplified Arabic"/>
          <w:sz w:val="24"/>
          <w:szCs w:val="24"/>
          <w:rtl/>
        </w:rPr>
        <w:t>سنة 2011</w:t>
      </w:r>
      <w:r>
        <w:rPr>
          <w:rFonts w:ascii="Simplified Arabic" w:hAnsi="Simplified Arabic" w:cs="Simplified Arabic" w:hint="cs"/>
          <w:sz w:val="24"/>
          <w:szCs w:val="24"/>
          <w:rtl/>
        </w:rPr>
        <w:t>ط1،</w:t>
      </w:r>
      <w:r w:rsidRPr="00914631">
        <w:rPr>
          <w:rFonts w:ascii="Simplified Arabic" w:hAnsi="Simplified Arabic" w:cs="Simplified Arabic"/>
          <w:sz w:val="24"/>
          <w:szCs w:val="24"/>
          <w:rtl/>
        </w:rPr>
        <w:t>،ص 81</w:t>
      </w:r>
      <w:r>
        <w:rPr>
          <w:rFonts w:hint="cs"/>
          <w:rtl/>
        </w:rPr>
        <w:t>.</w:t>
      </w:r>
    </w:p>
  </w:footnote>
  <w:footnote w:id="18">
    <w:p w:rsidR="00955879" w:rsidRPr="006223CC" w:rsidRDefault="00955879" w:rsidP="00955879">
      <w:pPr>
        <w:pStyle w:val="Notedebasdepage"/>
        <w:rPr>
          <w:rFonts w:ascii="Simplified Arabic" w:hAnsi="Simplified Arabic" w:cs="Simplified Arabic"/>
          <w:sz w:val="24"/>
          <w:szCs w:val="24"/>
        </w:rPr>
      </w:pPr>
      <w:r w:rsidRPr="00631E8E">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631E8E">
        <w:rPr>
          <w:rFonts w:ascii="Simplified Arabic" w:hAnsi="Simplified Arabic" w:cs="Simplified Arabic"/>
          <w:sz w:val="24"/>
          <w:szCs w:val="24"/>
          <w:rtl/>
        </w:rPr>
        <w:t>انظر</w:t>
      </w:r>
      <w:r>
        <w:rPr>
          <w:rFonts w:ascii="Simplified Arabic" w:hAnsi="Simplified Arabic" w:cs="Simplified Arabic" w:hint="cs"/>
          <w:sz w:val="24"/>
          <w:szCs w:val="24"/>
          <w:rtl/>
        </w:rPr>
        <w:t xml:space="preserve"> </w:t>
      </w:r>
      <w:r w:rsidRPr="00631E8E">
        <w:rPr>
          <w:rFonts w:ascii="Simplified Arabic" w:hAnsi="Simplified Arabic" w:cs="Simplified Arabic"/>
          <w:sz w:val="24"/>
          <w:szCs w:val="24"/>
          <w:rtl/>
        </w:rPr>
        <w:t>برهان الشاوي،</w:t>
      </w:r>
      <w:r>
        <w:rPr>
          <w:rFonts w:ascii="Simplified Arabic" w:hAnsi="Simplified Arabic" w:cs="Simplified Arabic" w:hint="cs"/>
          <w:sz w:val="24"/>
          <w:szCs w:val="24"/>
          <w:rtl/>
        </w:rPr>
        <w:t xml:space="preserve"> </w:t>
      </w:r>
      <w:r w:rsidRPr="00631E8E">
        <w:rPr>
          <w:rFonts w:ascii="Simplified Arabic" w:hAnsi="Simplified Arabic" w:cs="Simplified Arabic"/>
          <w:b/>
          <w:bCs/>
          <w:sz w:val="24"/>
          <w:szCs w:val="24"/>
          <w:u w:val="single"/>
          <w:rtl/>
        </w:rPr>
        <w:t>مدخل في الاتصال الجماهيري ونظرياته،</w:t>
      </w:r>
      <w:r>
        <w:rPr>
          <w:rFonts w:ascii="Simplified Arabic" w:hAnsi="Simplified Arabic" w:cs="Simplified Arabic" w:hint="cs"/>
          <w:b/>
          <w:bCs/>
          <w:sz w:val="24"/>
          <w:szCs w:val="24"/>
          <w:u w:val="single"/>
          <w:rtl/>
        </w:rPr>
        <w:t xml:space="preserve"> </w:t>
      </w:r>
      <w:r w:rsidRPr="00631E8E">
        <w:rPr>
          <w:rFonts w:ascii="Simplified Arabic" w:hAnsi="Simplified Arabic" w:cs="Simplified Arabic"/>
          <w:sz w:val="24"/>
          <w:szCs w:val="24"/>
          <w:rtl/>
        </w:rPr>
        <w:t>دار ومكتبة الكندي للنشر و</w:t>
      </w:r>
      <w:r>
        <w:rPr>
          <w:rFonts w:ascii="Simplified Arabic" w:hAnsi="Simplified Arabic" w:cs="Simplified Arabic" w:hint="cs"/>
          <w:sz w:val="24"/>
          <w:szCs w:val="24"/>
          <w:rtl/>
        </w:rPr>
        <w:t xml:space="preserve"> </w:t>
      </w:r>
      <w:r w:rsidRPr="00631E8E">
        <w:rPr>
          <w:rFonts w:ascii="Simplified Arabic" w:hAnsi="Simplified Arabic" w:cs="Simplified Arabic"/>
          <w:sz w:val="24"/>
          <w:szCs w:val="24"/>
          <w:rtl/>
        </w:rPr>
        <w:t>التوزيع ،</w:t>
      </w:r>
      <w:r>
        <w:rPr>
          <w:rFonts w:ascii="Simplified Arabic" w:hAnsi="Simplified Arabic" w:cs="Simplified Arabic" w:hint="cs"/>
          <w:sz w:val="24"/>
          <w:szCs w:val="24"/>
          <w:rtl/>
        </w:rPr>
        <w:t xml:space="preserve"> </w:t>
      </w:r>
      <w:r w:rsidRPr="00631E8E">
        <w:rPr>
          <w:rFonts w:ascii="Simplified Arabic" w:hAnsi="Simplified Arabic" w:cs="Simplified Arabic"/>
          <w:sz w:val="24"/>
          <w:szCs w:val="24"/>
          <w:rtl/>
        </w:rPr>
        <w:t>عمان ،سنة</w:t>
      </w:r>
      <w:r w:rsidRPr="006223CC">
        <w:rPr>
          <w:rFonts w:ascii="Simplified Arabic" w:hAnsi="Simplified Arabic" w:cs="Simplified Arabic"/>
          <w:sz w:val="24"/>
          <w:szCs w:val="24"/>
          <w:rtl/>
        </w:rPr>
        <w:t xml:space="preserve"> 2014ط1 ،ص185.</w:t>
      </w:r>
    </w:p>
  </w:footnote>
  <w:footnote w:id="19">
    <w:p w:rsidR="00955879" w:rsidRPr="00FB7914" w:rsidRDefault="00955879" w:rsidP="00955879">
      <w:pPr>
        <w:pStyle w:val="Notedebasdepage"/>
        <w:rPr>
          <w:rFonts w:ascii="Simplified Arabic" w:hAnsi="Simplified Arabic" w:cs="Simplified Arabic"/>
          <w:sz w:val="24"/>
          <w:szCs w:val="24"/>
        </w:rPr>
      </w:pPr>
      <w:r w:rsidRPr="00FC1441">
        <w:rPr>
          <w:rStyle w:val="Appelnotedebasdep"/>
        </w:rPr>
        <w:footnoteRef/>
      </w:r>
      <w:r>
        <w:rPr>
          <w:rFonts w:ascii="Simplified Arabic" w:hAnsi="Simplified Arabic" w:cs="Simplified Arabic" w:hint="cs"/>
          <w:sz w:val="24"/>
          <w:szCs w:val="24"/>
          <w:rtl/>
        </w:rPr>
        <w:t>-</w:t>
      </w:r>
      <w:r w:rsidRPr="00FC1441">
        <w:rPr>
          <w:rFonts w:ascii="Simplified Arabic" w:hAnsi="Simplified Arabic" w:cs="Simplified Arabic"/>
          <w:sz w:val="24"/>
          <w:szCs w:val="24"/>
          <w:rtl/>
        </w:rPr>
        <w:t>و</w:t>
      </w:r>
      <w:r w:rsidRPr="00FC1441">
        <w:rPr>
          <w:rFonts w:ascii="Simplified Arabic" w:hAnsi="Simplified Arabic" w:cs="Simplified Arabic"/>
          <w:b/>
          <w:bCs/>
          <w:sz w:val="24"/>
          <w:szCs w:val="24"/>
          <w:rtl/>
        </w:rPr>
        <w:t>التر ليپمان</w:t>
      </w:r>
      <w:r w:rsidRPr="00FC1441">
        <w:rPr>
          <w:rFonts w:ascii="Simplified Arabic" w:hAnsi="Simplified Arabic" w:cs="Simplified Arabic"/>
          <w:sz w:val="24"/>
          <w:szCs w:val="24"/>
        </w:rPr>
        <w:t xml:space="preserve"> Walter Lippmann </w:t>
      </w:r>
      <w:r w:rsidRPr="00FC1441">
        <w:rPr>
          <w:rFonts w:ascii="Simplified Arabic" w:hAnsi="Simplified Arabic" w:cs="Simplified Arabic"/>
          <w:sz w:val="24"/>
          <w:szCs w:val="24"/>
          <w:rtl/>
        </w:rPr>
        <w:t>‏</w:t>
      </w:r>
      <w:r w:rsidRPr="00FC1441">
        <w:rPr>
          <w:rFonts w:ascii="Simplified Arabic" w:hAnsi="Simplified Arabic" w:cs="Simplified Arabic"/>
          <w:sz w:val="24"/>
          <w:szCs w:val="24"/>
        </w:rPr>
        <w:t> </w:t>
      </w:r>
      <w:hyperlink r:id="rId1" w:tooltip="1889" w:history="1">
        <w:r w:rsidRPr="00FC1441">
          <w:rPr>
            <w:rStyle w:val="Lienhypertexte"/>
            <w:rFonts w:ascii="Simplified Arabic" w:hAnsi="Simplified Arabic" w:cs="Simplified Arabic"/>
            <w:sz w:val="24"/>
            <w:szCs w:val="24"/>
          </w:rPr>
          <w:t>1889</w:t>
        </w:r>
      </w:hyperlink>
      <w:hyperlink r:id="rId2" w:tooltip="14 ديسمبر" w:history="1">
        <w:r>
          <w:rPr>
            <w:rStyle w:val="Lienhypertexte"/>
            <w:rFonts w:ascii="Simplified Arabic" w:hAnsi="Simplified Arabic" w:cs="Simplified Arabic" w:hint="cs"/>
            <w:sz w:val="24"/>
            <w:szCs w:val="24"/>
            <w:rtl/>
          </w:rPr>
          <w:t>-</w:t>
        </w:r>
      </w:hyperlink>
      <w:r w:rsidRPr="00FC1441">
        <w:rPr>
          <w:rFonts w:ascii="Simplified Arabic" w:hAnsi="Simplified Arabic" w:cs="Simplified Arabic"/>
          <w:sz w:val="24"/>
          <w:szCs w:val="24"/>
        </w:rPr>
        <w:t> </w:t>
      </w:r>
      <w:hyperlink r:id="rId3" w:tooltip="1974" w:history="1">
        <w:r w:rsidRPr="00FC1441">
          <w:rPr>
            <w:rStyle w:val="Lienhypertexte"/>
            <w:rFonts w:ascii="Simplified Arabic" w:hAnsi="Simplified Arabic" w:cs="Simplified Arabic"/>
            <w:sz w:val="24"/>
            <w:szCs w:val="24"/>
          </w:rPr>
          <w:t>1974</w:t>
        </w:r>
      </w:hyperlink>
      <w:r w:rsidRPr="00FC1441">
        <w:rPr>
          <w:rFonts w:ascii="Simplified Arabic" w:hAnsi="Simplified Arabic" w:cs="Simplified Arabic"/>
          <w:sz w:val="24"/>
          <w:szCs w:val="24"/>
        </w:rPr>
        <w:t> </w:t>
      </w:r>
      <w:r w:rsidRPr="00FC1441">
        <w:rPr>
          <w:rFonts w:ascii="Simplified Arabic" w:hAnsi="Simplified Arabic" w:cs="Simplified Arabic"/>
          <w:sz w:val="24"/>
          <w:szCs w:val="24"/>
          <w:rtl/>
        </w:rPr>
        <w:t xml:space="preserve"> كاتباً ومراسلاً ومعلقاً سياسياً أمريكياً، اشتهر بكونه ضمن أول من قدّم مفهوم</w:t>
      </w:r>
      <w:r w:rsidRPr="00FC1441">
        <w:rPr>
          <w:rFonts w:ascii="Simplified Arabic" w:hAnsi="Simplified Arabic" w:cs="Simplified Arabic"/>
          <w:sz w:val="24"/>
          <w:szCs w:val="24"/>
        </w:rPr>
        <w:t> </w:t>
      </w:r>
      <w:hyperlink r:id="rId4" w:tooltip="الحرب الباردة" w:history="1">
        <w:r w:rsidRPr="00FC1441">
          <w:rPr>
            <w:rStyle w:val="Lienhypertexte"/>
            <w:rFonts w:ascii="Simplified Arabic" w:hAnsi="Simplified Arabic" w:cs="Simplified Arabic"/>
            <w:sz w:val="24"/>
            <w:szCs w:val="24"/>
            <w:rtl/>
          </w:rPr>
          <w:t>الحرب الباردة</w:t>
        </w:r>
      </w:hyperlink>
      <w:r w:rsidRPr="00FC1441">
        <w:rPr>
          <w:rFonts w:ascii="Simplified Arabic" w:hAnsi="Simplified Arabic" w:cs="Simplified Arabic"/>
          <w:sz w:val="24"/>
          <w:szCs w:val="24"/>
          <w:rtl/>
        </w:rPr>
        <w:t>، صياغة التعبير</w:t>
      </w:r>
      <w:r w:rsidRPr="00FC1441">
        <w:rPr>
          <w:rFonts w:ascii="Simplified Arabic" w:hAnsi="Simplified Arabic" w:cs="Simplified Arabic"/>
          <w:sz w:val="24"/>
          <w:szCs w:val="24"/>
        </w:rPr>
        <w:t xml:space="preserve"> "</w:t>
      </w:r>
      <w:hyperlink r:id="rId5" w:tooltip="قالب" w:history="1">
        <w:r w:rsidRPr="00FC1441">
          <w:rPr>
            <w:rStyle w:val="Lienhypertexte"/>
            <w:rFonts w:ascii="Simplified Arabic" w:hAnsi="Simplified Arabic" w:cs="Simplified Arabic"/>
            <w:sz w:val="24"/>
            <w:szCs w:val="24"/>
          </w:rPr>
          <w:t xml:space="preserve"> stereotype</w:t>
        </w:r>
      </w:hyperlink>
      <w:r w:rsidRPr="00FC1441">
        <w:rPr>
          <w:rFonts w:ascii="Simplified Arabic" w:hAnsi="Simplified Arabic" w:cs="Simplified Arabic"/>
          <w:sz w:val="24"/>
          <w:szCs w:val="24"/>
        </w:rPr>
        <w:t xml:space="preserve">" </w:t>
      </w:r>
      <w:r w:rsidRPr="00FC1441">
        <w:rPr>
          <w:rFonts w:ascii="Simplified Arabic" w:hAnsi="Simplified Arabic" w:cs="Simplified Arabic"/>
          <w:sz w:val="24"/>
          <w:szCs w:val="24"/>
          <w:rtl/>
        </w:rPr>
        <w:t xml:space="preserve">، وانتقاده </w:t>
      </w:r>
      <w:r w:rsidRPr="00FC1441">
        <w:rPr>
          <w:rFonts w:ascii="Simplified Arabic" w:hAnsi="Simplified Arabic" w:cs="Simplified Arabic" w:hint="cs"/>
          <w:sz w:val="24"/>
          <w:szCs w:val="24"/>
          <w:rtl/>
        </w:rPr>
        <w:t>لل</w:t>
      </w:r>
      <w:r>
        <w:rPr>
          <w:rFonts w:ascii="Simplified Arabic" w:hAnsi="Simplified Arabic" w:cs="Simplified Arabic" w:hint="cs"/>
          <w:sz w:val="24"/>
          <w:szCs w:val="24"/>
          <w:rtl/>
        </w:rPr>
        <w:t>إ</w:t>
      </w:r>
      <w:r w:rsidRPr="00FC1441">
        <w:rPr>
          <w:rFonts w:ascii="Simplified Arabic" w:hAnsi="Simplified Arabic" w:cs="Simplified Arabic" w:hint="cs"/>
          <w:sz w:val="24"/>
          <w:szCs w:val="24"/>
          <w:rtl/>
        </w:rPr>
        <w:t>علام</w:t>
      </w:r>
      <w:r w:rsidRPr="00FC1441">
        <w:rPr>
          <w:rFonts w:ascii="Simplified Arabic" w:hAnsi="Simplified Arabic" w:cs="Simplified Arabic"/>
          <w:sz w:val="24"/>
          <w:szCs w:val="24"/>
          <w:rtl/>
        </w:rPr>
        <w:t xml:space="preserve"> والديمقراطية في عموده بالصحافة وفي العديد من كتبه، خصوصاً كتابه في 1922</w:t>
      </w:r>
      <w:r w:rsidRPr="00FC1441">
        <w:rPr>
          <w:rFonts w:ascii="Simplified Arabic" w:hAnsi="Simplified Arabic" w:cs="Simplified Arabic"/>
          <w:sz w:val="24"/>
          <w:szCs w:val="24"/>
        </w:rPr>
        <w:t> </w:t>
      </w:r>
      <w:hyperlink r:id="rId6" w:tooltip="الرأي العام (كتاب) (الصفحة غير موجودة)" w:history="1">
        <w:r w:rsidRPr="00FB7914">
          <w:rPr>
            <w:rStyle w:val="Lienhypertexte"/>
            <w:rFonts w:ascii="Simplified Arabic" w:hAnsi="Simplified Arabic" w:cs="Simplified Arabic"/>
            <w:i/>
            <w:iCs/>
            <w:sz w:val="24"/>
            <w:szCs w:val="24"/>
            <w:rtl/>
          </w:rPr>
          <w:t>الرأي العام</w:t>
        </w:r>
        <w:r w:rsidRPr="00FB7914">
          <w:rPr>
            <w:rStyle w:val="Lienhypertexte"/>
            <w:rFonts w:ascii="Simplified Arabic" w:hAnsi="Simplified Arabic" w:cs="Simplified Arabic"/>
            <w:i/>
            <w:iCs/>
            <w:sz w:val="24"/>
            <w:szCs w:val="24"/>
          </w:rPr>
          <w:t xml:space="preserve"> Public Opinion</w:t>
        </w:r>
      </w:hyperlink>
      <w:r w:rsidRPr="00FB7914">
        <w:rPr>
          <w:rFonts w:ascii="Simplified Arabic" w:hAnsi="Simplified Arabic" w:cs="Simplified Arabic"/>
          <w:sz w:val="24"/>
          <w:szCs w:val="24"/>
          <w:rtl/>
        </w:rPr>
        <w:t>.</w:t>
      </w:r>
    </w:p>
  </w:footnote>
  <w:footnote w:id="20">
    <w:p w:rsidR="00955879" w:rsidRPr="00E8576E" w:rsidRDefault="00955879" w:rsidP="00955879">
      <w:pPr>
        <w:pStyle w:val="Notedebasdepage"/>
        <w:rPr>
          <w:rFonts w:ascii="Simplified Arabic" w:hAnsi="Simplified Arabic" w:cs="Simplified Arabic"/>
          <w:sz w:val="24"/>
          <w:szCs w:val="24"/>
        </w:rPr>
      </w:pPr>
      <w:r w:rsidRPr="00FB7914">
        <w:rPr>
          <w:rStyle w:val="Appelnotedebasdep"/>
          <w:rFonts w:ascii="Simplified Arabic" w:hAnsi="Simplified Arabic" w:cs="Simplified Arabic"/>
          <w:sz w:val="24"/>
          <w:szCs w:val="24"/>
        </w:rPr>
        <w:footnoteRef/>
      </w:r>
      <w:r>
        <w:rPr>
          <w:rFonts w:ascii="Simplified Arabic" w:hAnsi="Simplified Arabic" w:cs="Simplified Arabic" w:hint="cs"/>
          <w:b/>
          <w:bCs/>
          <w:sz w:val="24"/>
          <w:szCs w:val="24"/>
          <w:rtl/>
        </w:rPr>
        <w:t>-</w:t>
      </w:r>
      <w:r w:rsidRPr="00E8576E">
        <w:rPr>
          <w:rFonts w:ascii="Simplified Arabic" w:hAnsi="Simplified Arabic" w:cs="Simplified Arabic"/>
          <w:b/>
          <w:bCs/>
          <w:sz w:val="24"/>
          <w:szCs w:val="24"/>
          <w:rtl/>
        </w:rPr>
        <w:t>الاتجاهات</w:t>
      </w:r>
      <w:r w:rsidRPr="00E8576E">
        <w:rPr>
          <w:rFonts w:ascii="Simplified Arabic" w:hAnsi="Simplified Arabic" w:cs="Simplified Arabic"/>
          <w:sz w:val="24"/>
          <w:szCs w:val="24"/>
          <w:rtl/>
        </w:rPr>
        <w:t xml:space="preserve">  حسب محمد جمال الفار في المعجم الاعلامي عبارة عن استجابات تقويمية مستعملة ازاء موضوعات او احداث أو غير ذلك من الميزات.</w:t>
      </w:r>
    </w:p>
  </w:footnote>
  <w:footnote w:id="21">
    <w:p w:rsidR="00955879" w:rsidRPr="00E8576E" w:rsidRDefault="00955879" w:rsidP="00955879">
      <w:pPr>
        <w:pStyle w:val="Notedebasdepage"/>
        <w:rPr>
          <w:rFonts w:ascii="Simplified Arabic" w:hAnsi="Simplified Arabic" w:cs="Simplified Arabic"/>
          <w:sz w:val="24"/>
          <w:szCs w:val="24"/>
        </w:rPr>
      </w:pPr>
      <w:r w:rsidRPr="00E8576E">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E8576E">
        <w:rPr>
          <w:rFonts w:ascii="Simplified Arabic" w:hAnsi="Simplified Arabic" w:cs="Simplified Arabic"/>
          <w:sz w:val="24"/>
          <w:szCs w:val="24"/>
          <w:rtl/>
        </w:rPr>
        <w:t xml:space="preserve"> أنظر عبد الرحمن المشايقة، </w:t>
      </w:r>
      <w:r w:rsidRPr="00E8576E">
        <w:rPr>
          <w:rFonts w:ascii="Simplified Arabic" w:hAnsi="Simplified Arabic" w:cs="Simplified Arabic"/>
          <w:b/>
          <w:bCs/>
          <w:sz w:val="24"/>
          <w:szCs w:val="24"/>
          <w:u w:val="single"/>
          <w:rtl/>
        </w:rPr>
        <w:t>نظريات الاعلام</w:t>
      </w:r>
      <w:r w:rsidRPr="00E8576E">
        <w:rPr>
          <w:rFonts w:ascii="Simplified Arabic" w:hAnsi="Simplified Arabic" w:cs="Simplified Arabic"/>
          <w:sz w:val="24"/>
          <w:szCs w:val="24"/>
          <w:rtl/>
        </w:rPr>
        <w:t>، مرجع سبق ذكره ص 92.</w:t>
      </w:r>
    </w:p>
  </w:footnote>
  <w:footnote w:id="22">
    <w:p w:rsidR="00955879" w:rsidRPr="00E8576E" w:rsidRDefault="00955879" w:rsidP="00955879">
      <w:pPr>
        <w:pStyle w:val="Notedebasdepage"/>
        <w:rPr>
          <w:rFonts w:ascii="Simplified Arabic" w:hAnsi="Simplified Arabic" w:cs="Simplified Arabic"/>
          <w:sz w:val="24"/>
          <w:szCs w:val="24"/>
        </w:rPr>
      </w:pPr>
      <w:r w:rsidRPr="00E8576E">
        <w:rPr>
          <w:rStyle w:val="Appelnotedebasdep"/>
          <w:rFonts w:ascii="Simplified Arabic" w:hAnsi="Simplified Arabic" w:cs="Simplified Arabic"/>
          <w:sz w:val="24"/>
          <w:szCs w:val="24"/>
        </w:rPr>
        <w:footnoteRef/>
      </w:r>
      <w:r w:rsidRPr="00E8576E">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E8576E">
        <w:rPr>
          <w:rFonts w:ascii="Simplified Arabic" w:hAnsi="Simplified Arabic" w:cs="Simplified Arabic"/>
          <w:sz w:val="24"/>
          <w:szCs w:val="24"/>
          <w:rtl/>
        </w:rPr>
        <w:t xml:space="preserve">أنظر عبد الرحمن المشابقة، </w:t>
      </w:r>
      <w:r w:rsidRPr="00E8576E">
        <w:rPr>
          <w:rFonts w:ascii="Simplified Arabic" w:hAnsi="Simplified Arabic" w:cs="Simplified Arabic"/>
          <w:b/>
          <w:bCs/>
          <w:sz w:val="24"/>
          <w:szCs w:val="24"/>
          <w:u w:val="single"/>
          <w:rtl/>
        </w:rPr>
        <w:t>نظريات الاتصال</w:t>
      </w:r>
      <w:r w:rsidRPr="00E8576E">
        <w:rPr>
          <w:rFonts w:ascii="Simplified Arabic" w:hAnsi="Simplified Arabic" w:cs="Simplified Arabic"/>
          <w:sz w:val="24"/>
          <w:szCs w:val="24"/>
          <w:rtl/>
        </w:rPr>
        <w:t>، مرجع سبق ذكره، ص 178.</w:t>
      </w:r>
    </w:p>
  </w:footnote>
  <w:footnote w:id="23">
    <w:p w:rsidR="00955879" w:rsidRPr="00E8576E" w:rsidRDefault="00955879" w:rsidP="00955879">
      <w:pPr>
        <w:pStyle w:val="Notedebasdepage"/>
        <w:rPr>
          <w:rFonts w:ascii="Simplified Arabic" w:hAnsi="Simplified Arabic" w:cs="Simplified Arabic"/>
          <w:sz w:val="24"/>
          <w:szCs w:val="24"/>
        </w:rPr>
      </w:pPr>
      <w:r w:rsidRPr="00E8576E">
        <w:rPr>
          <w:rStyle w:val="Appelnotedebasdep"/>
          <w:rFonts w:ascii="Simplified Arabic" w:hAnsi="Simplified Arabic" w:cs="Simplified Arabic"/>
          <w:sz w:val="24"/>
          <w:szCs w:val="24"/>
        </w:rPr>
        <w:footnoteRef/>
      </w:r>
      <w:r w:rsidRPr="00E8576E">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E8576E">
        <w:rPr>
          <w:rFonts w:ascii="Simplified Arabic" w:hAnsi="Simplified Arabic" w:cs="Simplified Arabic"/>
          <w:sz w:val="24"/>
          <w:szCs w:val="24"/>
          <w:rtl/>
        </w:rPr>
        <w:t xml:space="preserve">اسامة بن مساعد المحيا، </w:t>
      </w:r>
      <w:r w:rsidRPr="00E8576E">
        <w:rPr>
          <w:rFonts w:ascii="Simplified Arabic" w:hAnsi="Simplified Arabic" w:cs="Simplified Arabic"/>
          <w:b/>
          <w:bCs/>
          <w:sz w:val="24"/>
          <w:szCs w:val="24"/>
          <w:u w:val="single"/>
          <w:rtl/>
        </w:rPr>
        <w:t>نظريات التأثير الاعلامية</w:t>
      </w:r>
      <w:r w:rsidRPr="00E8576E">
        <w:rPr>
          <w:rFonts w:ascii="Simplified Arabic" w:hAnsi="Simplified Arabic" w:cs="Simplified Arabic"/>
          <w:b/>
          <w:bCs/>
          <w:sz w:val="24"/>
          <w:szCs w:val="24"/>
          <w:u w:val="single"/>
          <w:rtl/>
          <w:lang w:bidi="ar-DZ"/>
        </w:rPr>
        <w:t xml:space="preserve"> ، ص 24، </w:t>
      </w:r>
      <w:r w:rsidRPr="00E8576E">
        <w:rPr>
          <w:rFonts w:ascii="Simplified Arabic" w:hAnsi="Simplified Arabic" w:cs="Simplified Arabic"/>
          <w:sz w:val="24"/>
          <w:szCs w:val="24"/>
          <w:rtl/>
        </w:rPr>
        <w:t xml:space="preserve">مقال منشور </w:t>
      </w:r>
      <w:r w:rsidRPr="00E8576E">
        <w:rPr>
          <w:rFonts w:ascii="Simplified Arabic" w:hAnsi="Simplified Arabic" w:cs="Simplified Arabic"/>
          <w:sz w:val="24"/>
          <w:szCs w:val="24"/>
          <w:lang w:val="fr-FR"/>
        </w:rPr>
        <w:t>PDF</w:t>
      </w:r>
      <w:r w:rsidRPr="00E8576E">
        <w:rPr>
          <w:rFonts w:ascii="Simplified Arabic" w:hAnsi="Simplified Arabic" w:cs="Simplified Arabic"/>
          <w:sz w:val="24"/>
          <w:szCs w:val="24"/>
          <w:rtl/>
          <w:lang w:val="fr-FR"/>
        </w:rPr>
        <w:t xml:space="preserve"> </w:t>
      </w:r>
      <w:r w:rsidRPr="00E8576E">
        <w:rPr>
          <w:rFonts w:ascii="Simplified Arabic" w:hAnsi="Simplified Arabic" w:cs="Simplified Arabic"/>
          <w:sz w:val="24"/>
          <w:szCs w:val="24"/>
          <w:rtl/>
          <w:lang w:bidi="ar-DZ"/>
        </w:rPr>
        <w:t>يوم 25/07/1433</w:t>
      </w:r>
      <w:r w:rsidRPr="00E8576E">
        <w:rPr>
          <w:rFonts w:ascii="Simplified Arabic" w:hAnsi="Simplified Arabic" w:cs="Simplified Arabic"/>
          <w:sz w:val="24"/>
          <w:szCs w:val="24"/>
          <w:rtl/>
        </w:rPr>
        <w:t>،شوهد يوم 13/12/2015 على الساعة 16.25</w:t>
      </w:r>
      <w:r w:rsidRPr="00E8576E">
        <w:rPr>
          <w:rFonts w:ascii="Simplified Arabic" w:hAnsi="Simplified Arabic" w:cs="Simplified Arabic"/>
          <w:sz w:val="24"/>
          <w:szCs w:val="24"/>
          <w:u w:val="single"/>
          <w:rtl/>
        </w:rPr>
        <w:t>على الرابط التالي:</w:t>
      </w:r>
      <w:r w:rsidRPr="00E8576E">
        <w:rPr>
          <w:rFonts w:ascii="Simplified Arabic" w:hAnsi="Simplified Arabic" w:cs="Simplified Arabic"/>
          <w:sz w:val="24"/>
          <w:szCs w:val="24"/>
          <w:u w:val="single"/>
        </w:rPr>
        <w:t>osamh.me/blog/wp-content/.../04</w:t>
      </w:r>
    </w:p>
  </w:footnote>
  <w:footnote w:id="24">
    <w:p w:rsidR="00955879" w:rsidRPr="00AD0E61" w:rsidRDefault="00955879" w:rsidP="00955879">
      <w:pPr>
        <w:pStyle w:val="Notedebasdepage"/>
        <w:rPr>
          <w:rFonts w:ascii="Simplified Arabic" w:hAnsi="Simplified Arabic" w:cs="Simplified Arabic"/>
          <w:color w:val="0000FF"/>
          <w:sz w:val="24"/>
          <w:szCs w:val="24"/>
          <w:u w:val="single"/>
          <w:lang w:val="fr-FR"/>
        </w:rPr>
      </w:pPr>
      <w:r w:rsidRPr="00E8576E">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E8576E">
        <w:rPr>
          <w:rFonts w:ascii="Simplified Arabic" w:hAnsi="Simplified Arabic" w:cs="Simplified Arabic"/>
          <w:sz w:val="24"/>
          <w:szCs w:val="24"/>
          <w:rtl/>
        </w:rPr>
        <w:t xml:space="preserve">نسرين محمد عبده حسونة، </w:t>
      </w:r>
      <w:r w:rsidRPr="00E8576E">
        <w:rPr>
          <w:rFonts w:ascii="Simplified Arabic" w:hAnsi="Simplified Arabic" w:cs="Simplified Arabic"/>
          <w:b/>
          <w:bCs/>
          <w:sz w:val="24"/>
          <w:szCs w:val="24"/>
          <w:u w:val="single"/>
          <w:rtl/>
        </w:rPr>
        <w:t>نظريات الاعلام والاتصال</w:t>
      </w:r>
      <w:r w:rsidRPr="00E8576E">
        <w:rPr>
          <w:rFonts w:ascii="Simplified Arabic" w:hAnsi="Simplified Arabic" w:cs="Simplified Arabic"/>
          <w:sz w:val="24"/>
          <w:szCs w:val="24"/>
          <w:rtl/>
        </w:rPr>
        <w:t>، شبكة الالوكة،سنة2010 ،ص،5 4</w:t>
      </w:r>
      <w:r w:rsidRPr="00E8576E">
        <w:rPr>
          <w:rFonts w:ascii="Simplified Arabic" w:hAnsi="Simplified Arabic" w:cs="Simplified Arabic"/>
          <w:sz w:val="24"/>
          <w:szCs w:val="24"/>
        </w:rPr>
        <w:t xml:space="preserve"> pdf</w:t>
      </w:r>
      <w:r w:rsidRPr="00E8576E">
        <w:rPr>
          <w:rStyle w:val="Lienhypertexte"/>
          <w:rFonts w:ascii="Simplified Arabic" w:hAnsi="Simplified Arabic" w:cs="Simplified Arabic"/>
          <w:sz w:val="24"/>
          <w:szCs w:val="24"/>
          <w:rtl/>
          <w:lang w:val="fr-FR"/>
        </w:rPr>
        <w:t xml:space="preserve">  شوهد يوم </w:t>
      </w:r>
      <w:r>
        <w:rPr>
          <w:rStyle w:val="Lienhypertexte"/>
          <w:rFonts w:ascii="Simplified Arabic" w:hAnsi="Simplified Arabic" w:cs="Simplified Arabic" w:hint="cs"/>
          <w:sz w:val="24"/>
          <w:szCs w:val="24"/>
          <w:rtl/>
          <w:lang w:val="fr-FR"/>
        </w:rPr>
        <w:t>1</w:t>
      </w:r>
      <w:r w:rsidRPr="00E8576E">
        <w:rPr>
          <w:rStyle w:val="Lienhypertexte"/>
          <w:rFonts w:ascii="Simplified Arabic" w:hAnsi="Simplified Arabic" w:cs="Simplified Arabic"/>
          <w:sz w:val="24"/>
          <w:szCs w:val="24"/>
          <w:rtl/>
          <w:lang w:val="fr-FR"/>
        </w:rPr>
        <w:t>/09/2013.على الساعة 10.30.على الرابط:</w:t>
      </w:r>
      <w:r w:rsidRPr="00E8576E">
        <w:rPr>
          <w:rStyle w:val="Lienhypertexte"/>
          <w:rFonts w:ascii="Simplified Arabic" w:hAnsi="Simplified Arabic" w:cs="Simplified Arabic"/>
          <w:sz w:val="24"/>
          <w:szCs w:val="24"/>
          <w:lang w:val="fr-FR"/>
        </w:rPr>
        <w:t>file:///C:/Users/pc/Downloads/ealam%20(2).pd</w:t>
      </w:r>
      <w:r w:rsidRPr="00AD0E61">
        <w:rPr>
          <w:rStyle w:val="Lienhypertexte"/>
          <w:rFonts w:ascii="Simplified Arabic" w:hAnsi="Simplified Arabic" w:cs="Simplified Arabic"/>
          <w:sz w:val="24"/>
          <w:szCs w:val="24"/>
          <w:lang w:val="fr-FR"/>
        </w:rPr>
        <w:t>f</w:t>
      </w:r>
    </w:p>
  </w:footnote>
  <w:footnote w:id="25">
    <w:p w:rsidR="00955879" w:rsidRPr="00AD0E61" w:rsidRDefault="00955879" w:rsidP="00955879">
      <w:pPr>
        <w:pStyle w:val="Notedebasdepage"/>
        <w:rPr>
          <w:rFonts w:ascii="Simplified Arabic" w:hAnsi="Simplified Arabic" w:cs="Simplified Arabic"/>
          <w:sz w:val="24"/>
          <w:szCs w:val="24"/>
        </w:rPr>
      </w:pPr>
      <w:r>
        <w:rPr>
          <w:rFonts w:ascii="Simplified Arabic" w:hAnsi="Simplified Arabic" w:cs="Simplified Arabic" w:hint="cs"/>
          <w:sz w:val="24"/>
          <w:szCs w:val="24"/>
          <w:rtl/>
          <w:lang w:val="fr-FR"/>
        </w:rPr>
        <w:t>-</w:t>
      </w:r>
      <w:r w:rsidRPr="00AD0E61">
        <w:rPr>
          <w:rStyle w:val="Appelnotedebasdep"/>
          <w:rFonts w:ascii="Simplified Arabic" w:hAnsi="Simplified Arabic" w:cs="Simplified Arabic"/>
          <w:sz w:val="24"/>
          <w:szCs w:val="24"/>
        </w:rPr>
        <w:footnoteRef/>
      </w:r>
      <w:r w:rsidRPr="00AD0E61">
        <w:rPr>
          <w:rFonts w:ascii="Simplified Arabic" w:hAnsi="Simplified Arabic" w:cs="Simplified Arabic"/>
          <w:sz w:val="24"/>
          <w:szCs w:val="24"/>
          <w:rtl/>
        </w:rPr>
        <w:t>محمود حسن اسماعيل</w:t>
      </w:r>
      <w:r w:rsidRPr="00AD0E61">
        <w:rPr>
          <w:rFonts w:ascii="Simplified Arabic" w:hAnsi="Simplified Arabic" w:cs="Simplified Arabic"/>
          <w:sz w:val="24"/>
          <w:szCs w:val="24"/>
          <w:rtl/>
          <w:lang w:bidi="ar-DZ"/>
        </w:rPr>
        <w:t>،</w:t>
      </w:r>
      <w:r w:rsidRPr="00AD0E61">
        <w:rPr>
          <w:rFonts w:ascii="Simplified Arabic" w:hAnsi="Simplified Arabic" w:cs="Simplified Arabic"/>
          <w:b/>
          <w:bCs/>
          <w:sz w:val="24"/>
          <w:szCs w:val="24"/>
          <w:u w:val="single"/>
          <w:rtl/>
        </w:rPr>
        <w:t>مبادئ علم الاتصال ونظريات التأثير</w:t>
      </w:r>
      <w:r w:rsidRPr="00AD0E61">
        <w:rPr>
          <w:rFonts w:ascii="Simplified Arabic" w:hAnsi="Simplified Arabic" w:cs="Simplified Arabic"/>
          <w:sz w:val="24"/>
          <w:szCs w:val="24"/>
          <w:rtl/>
        </w:rPr>
        <w:t>،</w:t>
      </w:r>
      <w:r>
        <w:rPr>
          <w:rFonts w:ascii="Simplified Arabic" w:hAnsi="Simplified Arabic" w:cs="Simplified Arabic" w:hint="cs"/>
          <w:sz w:val="24"/>
          <w:szCs w:val="24"/>
          <w:rtl/>
        </w:rPr>
        <w:t xml:space="preserve"> مرجع سبق ذكره</w:t>
      </w:r>
      <w:r w:rsidRPr="00AD0E61">
        <w:rPr>
          <w:rFonts w:ascii="Simplified Arabic" w:hAnsi="Simplified Arabic" w:cs="Simplified Arabic"/>
          <w:sz w:val="24"/>
          <w:szCs w:val="24"/>
          <w:rtl/>
        </w:rPr>
        <w:t>،ص282.</w:t>
      </w:r>
    </w:p>
  </w:footnote>
  <w:footnote w:id="26">
    <w:p w:rsidR="00955879" w:rsidRPr="00807BC7" w:rsidRDefault="00955879" w:rsidP="00955879">
      <w:pPr>
        <w:pStyle w:val="Notedebasdepage"/>
        <w:rPr>
          <w:rFonts w:ascii="Simplified Arabic" w:hAnsi="Simplified Arabic" w:cs="Simplified Arabic"/>
          <w:sz w:val="24"/>
          <w:szCs w:val="24"/>
        </w:rPr>
      </w:pPr>
      <w:r w:rsidRPr="00807BC7">
        <w:rPr>
          <w:rStyle w:val="Appelnotedebasdep"/>
          <w:rFonts w:ascii="Simplified Arabic" w:hAnsi="Simplified Arabic" w:cs="Simplified Arabic"/>
          <w:sz w:val="24"/>
          <w:szCs w:val="24"/>
        </w:rPr>
        <w:footnoteRef/>
      </w:r>
      <w:r w:rsidRPr="00807BC7">
        <w:rPr>
          <w:rFonts w:ascii="Simplified Arabic" w:hAnsi="Simplified Arabic" w:cs="Simplified Arabic"/>
          <w:sz w:val="24"/>
          <w:szCs w:val="24"/>
          <w:rtl/>
        </w:rPr>
        <w:t xml:space="preserve"> فاروق ناجي محمود ،</w:t>
      </w:r>
      <w:r w:rsidRPr="00807BC7">
        <w:rPr>
          <w:rFonts w:ascii="Simplified Arabic" w:hAnsi="Simplified Arabic" w:cs="Simplified Arabic"/>
          <w:b/>
          <w:bCs/>
          <w:sz w:val="24"/>
          <w:szCs w:val="24"/>
          <w:u w:val="single"/>
          <w:rtl/>
        </w:rPr>
        <w:t>استراتيجية الاتصال مع الآخر</w:t>
      </w:r>
      <w:r w:rsidRPr="00807BC7">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807BC7">
        <w:rPr>
          <w:rFonts w:ascii="Simplified Arabic" w:hAnsi="Simplified Arabic" w:cs="Simplified Arabic"/>
          <w:sz w:val="24"/>
          <w:szCs w:val="24"/>
          <w:rtl/>
        </w:rPr>
        <w:t>دار النفائس</w:t>
      </w:r>
      <w:r>
        <w:rPr>
          <w:rFonts w:ascii="Simplified Arabic" w:hAnsi="Simplified Arabic" w:cs="Simplified Arabic" w:hint="cs"/>
          <w:sz w:val="24"/>
          <w:szCs w:val="24"/>
          <w:rtl/>
        </w:rPr>
        <w:t xml:space="preserve"> </w:t>
      </w:r>
      <w:r w:rsidRPr="00807BC7">
        <w:rPr>
          <w:rFonts w:ascii="Simplified Arabic" w:hAnsi="Simplified Arabic" w:cs="Simplified Arabic"/>
          <w:sz w:val="24"/>
          <w:szCs w:val="24"/>
          <w:rtl/>
        </w:rPr>
        <w:t>للنشر والتوزيع،</w:t>
      </w:r>
      <w:r>
        <w:rPr>
          <w:rFonts w:ascii="Simplified Arabic" w:hAnsi="Simplified Arabic" w:cs="Simplified Arabic" w:hint="cs"/>
          <w:sz w:val="24"/>
          <w:szCs w:val="24"/>
          <w:rtl/>
        </w:rPr>
        <w:t xml:space="preserve"> </w:t>
      </w:r>
      <w:r w:rsidRPr="00807BC7">
        <w:rPr>
          <w:rFonts w:ascii="Simplified Arabic" w:hAnsi="Simplified Arabic" w:cs="Simplified Arabic"/>
          <w:sz w:val="24"/>
          <w:szCs w:val="24"/>
          <w:rtl/>
        </w:rPr>
        <w:t>الأردن ،سنة 2010 ط1 ص</w:t>
      </w:r>
      <w:r>
        <w:rPr>
          <w:rFonts w:ascii="Simplified Arabic" w:hAnsi="Simplified Arabic" w:cs="Simplified Arabic" w:hint="cs"/>
          <w:sz w:val="24"/>
          <w:szCs w:val="24"/>
          <w:rtl/>
        </w:rPr>
        <w:t xml:space="preserve"> </w:t>
      </w:r>
      <w:r w:rsidRPr="00807BC7">
        <w:rPr>
          <w:rFonts w:ascii="Simplified Arabic" w:hAnsi="Simplified Arabic" w:cs="Simplified Arabic"/>
          <w:sz w:val="24"/>
          <w:szCs w:val="24"/>
          <w:rtl/>
        </w:rPr>
        <w:t>ص</w:t>
      </w:r>
      <w:r>
        <w:rPr>
          <w:rFonts w:ascii="Simplified Arabic" w:hAnsi="Simplified Arabic" w:cs="Simplified Arabic" w:hint="cs"/>
          <w:sz w:val="24"/>
          <w:szCs w:val="24"/>
          <w:rtl/>
        </w:rPr>
        <w:t xml:space="preserve">: </w:t>
      </w:r>
      <w:r w:rsidRPr="00807BC7">
        <w:rPr>
          <w:rFonts w:ascii="Simplified Arabic" w:hAnsi="Simplified Arabic" w:cs="Simplified Arabic"/>
          <w:sz w:val="24"/>
          <w:szCs w:val="24"/>
          <w:rtl/>
        </w:rPr>
        <w:t>79.80.</w:t>
      </w:r>
    </w:p>
  </w:footnote>
  <w:footnote w:id="27">
    <w:p w:rsidR="00955879" w:rsidRPr="007B2B4C" w:rsidRDefault="00955879" w:rsidP="00955879">
      <w:pPr>
        <w:pStyle w:val="Notedebasdepage"/>
        <w:rPr>
          <w:rFonts w:ascii="Simplified Arabic" w:hAnsi="Simplified Arabic" w:cs="Simplified Arabic"/>
          <w:sz w:val="24"/>
          <w:szCs w:val="24"/>
          <w:rtl/>
          <w:lang w:bidi="ar-DZ"/>
        </w:rPr>
      </w:pPr>
      <w:r>
        <w:rPr>
          <w:rStyle w:val="Appelnotedebasdep"/>
        </w:rPr>
        <w:footnoteRef/>
      </w:r>
      <w:r>
        <w:rPr>
          <w:rFonts w:ascii="Simplified Arabic" w:hAnsi="Simplified Arabic" w:cs="Simplified Arabic"/>
          <w:b/>
          <w:bCs/>
          <w:sz w:val="24"/>
          <w:szCs w:val="24"/>
          <w:rtl/>
        </w:rPr>
        <w:t>ه</w:t>
      </w:r>
      <w:r>
        <w:rPr>
          <w:rFonts w:ascii="Simplified Arabic" w:hAnsi="Simplified Arabic" w:cs="Simplified Arabic" w:hint="cs"/>
          <w:b/>
          <w:bCs/>
          <w:sz w:val="24"/>
          <w:szCs w:val="24"/>
          <w:rtl/>
        </w:rPr>
        <w:t>وفلاند</w:t>
      </w:r>
      <w:r w:rsidRPr="007B2B4C">
        <w:rPr>
          <w:rFonts w:ascii="Simplified Arabic" w:hAnsi="Simplified Arabic" w:cs="Simplified Arabic"/>
          <w:sz w:val="24"/>
          <w:szCs w:val="24"/>
        </w:rPr>
        <w:t>. </w:t>
      </w:r>
      <w:hyperlink r:id="rId7" w:tooltip="1927" w:history="1">
        <w:r w:rsidRPr="007B2B4C">
          <w:rPr>
            <w:rStyle w:val="Lienhypertexte"/>
            <w:rFonts w:ascii="Simplified Arabic" w:hAnsi="Simplified Arabic" w:cs="Simplified Arabic"/>
            <w:sz w:val="24"/>
            <w:szCs w:val="24"/>
          </w:rPr>
          <w:t>1927</w:t>
        </w:r>
      </w:hyperlink>
      <w:r w:rsidRPr="007B2B4C">
        <w:rPr>
          <w:rFonts w:ascii="Simplified Arabic" w:hAnsi="Simplified Arabic" w:cs="Simplified Arabic"/>
          <w:sz w:val="24"/>
          <w:szCs w:val="24"/>
        </w:rPr>
        <w:t> – </w:t>
      </w:r>
      <w:hyperlink r:id="rId8" w:tooltip="2016" w:history="1">
        <w:r w:rsidRPr="007B2B4C">
          <w:rPr>
            <w:rStyle w:val="Lienhypertexte"/>
            <w:rFonts w:ascii="Simplified Arabic" w:hAnsi="Simplified Arabic" w:cs="Simplified Arabic"/>
            <w:sz w:val="24"/>
            <w:szCs w:val="24"/>
          </w:rPr>
          <w:t>2016</w:t>
        </w:r>
      </w:hyperlink>
      <w:r w:rsidRPr="007B2B4C">
        <w:rPr>
          <w:rFonts w:ascii="Simplified Arabic" w:hAnsi="Simplified Arabic" w:cs="Simplified Arabic"/>
          <w:sz w:val="24"/>
          <w:szCs w:val="24"/>
        </w:rPr>
        <w:t>   </w:t>
      </w:r>
      <w:hyperlink r:id="rId9" w:tooltip="كاتب" w:history="1">
        <w:r w:rsidRPr="007B2B4C">
          <w:rPr>
            <w:rStyle w:val="Lienhypertexte"/>
            <w:rFonts w:ascii="Simplified Arabic" w:hAnsi="Simplified Arabic" w:cs="Simplified Arabic"/>
            <w:sz w:val="24"/>
            <w:szCs w:val="24"/>
            <w:rtl/>
          </w:rPr>
          <w:t>كاتب</w:t>
        </w:r>
      </w:hyperlink>
      <w:r>
        <w:rPr>
          <w:rStyle w:val="Lienhypertexte"/>
          <w:rFonts w:ascii="Simplified Arabic" w:hAnsi="Simplified Arabic" w:cs="Simplified Arabic" w:hint="cs"/>
          <w:sz w:val="24"/>
          <w:szCs w:val="24"/>
          <w:rtl/>
        </w:rPr>
        <w:t xml:space="preserve"> </w:t>
      </w:r>
      <w:r w:rsidRPr="007B2B4C">
        <w:rPr>
          <w:rFonts w:ascii="Simplified Arabic" w:hAnsi="Simplified Arabic" w:cs="Simplified Arabic"/>
          <w:sz w:val="24"/>
          <w:szCs w:val="24"/>
        </w:rPr>
        <w:t> </w:t>
      </w:r>
      <w:hyperlink r:id="rId10" w:tooltip="صحفي" w:history="1">
        <w:r w:rsidRPr="007B2B4C">
          <w:rPr>
            <w:rStyle w:val="Lienhypertexte"/>
            <w:rFonts w:ascii="Simplified Arabic" w:hAnsi="Simplified Arabic" w:cs="Simplified Arabic"/>
            <w:sz w:val="24"/>
            <w:szCs w:val="24"/>
            <w:rtl/>
          </w:rPr>
          <w:t>وصحفي</w:t>
        </w:r>
      </w:hyperlink>
      <w:r>
        <w:rPr>
          <w:rFonts w:ascii="Simplified Arabic" w:hAnsi="Simplified Arabic" w:cs="Simplified Arabic" w:hint="cs"/>
          <w:sz w:val="24"/>
          <w:szCs w:val="24"/>
          <w:rtl/>
        </w:rPr>
        <w:t xml:space="preserve"> </w:t>
      </w:r>
      <w:r w:rsidRPr="007B2B4C">
        <w:rPr>
          <w:rFonts w:ascii="Simplified Arabic" w:hAnsi="Simplified Arabic" w:cs="Simplified Arabic"/>
          <w:sz w:val="24"/>
          <w:szCs w:val="24"/>
        </w:rPr>
        <w:t> </w:t>
      </w:r>
      <w:r w:rsidRPr="00B86C30">
        <w:rPr>
          <w:rFonts w:ascii="Simplified Arabic" w:hAnsi="Simplified Arabic" w:cs="Simplified Arabic"/>
          <w:sz w:val="24"/>
          <w:szCs w:val="24"/>
          <w:rtl/>
        </w:rPr>
        <w:t>هولند</w:t>
      </w:r>
      <w:r w:rsidRPr="00B86C30">
        <w:rPr>
          <w:rFonts w:ascii="Simplified Arabic" w:hAnsi="Simplified Arabic" w:cs="Simplified Arabic" w:hint="cs"/>
          <w:sz w:val="24"/>
          <w:szCs w:val="24"/>
          <w:rtl/>
        </w:rPr>
        <w:t>ي</w:t>
      </w:r>
      <w:r w:rsidRPr="007B2B4C">
        <w:rPr>
          <w:rFonts w:ascii="Simplified Arabic" w:hAnsi="Simplified Arabic" w:cs="Simplified Arabic"/>
          <w:sz w:val="24"/>
          <w:szCs w:val="24"/>
        </w:rPr>
        <w:t xml:space="preserve"> </w:t>
      </w:r>
      <w:r w:rsidRPr="007B2B4C">
        <w:rPr>
          <w:rFonts w:ascii="Simplified Arabic" w:hAnsi="Simplified Arabic" w:cs="Simplified Arabic"/>
          <w:sz w:val="24"/>
          <w:szCs w:val="24"/>
          <w:rtl/>
        </w:rPr>
        <w:t>ولد في</w:t>
      </w:r>
      <w:r w:rsidRPr="007B2B4C">
        <w:rPr>
          <w:rFonts w:ascii="Simplified Arabic" w:hAnsi="Simplified Arabic" w:cs="Simplified Arabic"/>
          <w:sz w:val="24"/>
          <w:szCs w:val="24"/>
        </w:rPr>
        <w:t> </w:t>
      </w:r>
      <w:hyperlink r:id="rId11" w:tooltip="روتردام" w:history="1">
        <w:r w:rsidRPr="007B2B4C">
          <w:rPr>
            <w:rStyle w:val="Lienhypertexte"/>
            <w:rFonts w:ascii="Simplified Arabic" w:hAnsi="Simplified Arabic" w:cs="Simplified Arabic"/>
            <w:sz w:val="24"/>
            <w:szCs w:val="24"/>
            <w:rtl/>
          </w:rPr>
          <w:t>روتردام</w:t>
        </w:r>
      </w:hyperlink>
      <w:r w:rsidRPr="007B2B4C">
        <w:rPr>
          <w:rFonts w:ascii="Simplified Arabic" w:hAnsi="Simplified Arabic" w:cs="Simplified Arabic" w:hint="cs"/>
          <w:sz w:val="24"/>
          <w:szCs w:val="24"/>
          <w:rtl/>
        </w:rPr>
        <w:t>.</w:t>
      </w:r>
    </w:p>
  </w:footnote>
  <w:footnote w:id="28">
    <w:p w:rsidR="00955879" w:rsidRPr="007B2B4C" w:rsidRDefault="00955879" w:rsidP="00955879">
      <w:pPr>
        <w:pStyle w:val="Notedebasdepage"/>
        <w:rPr>
          <w:rFonts w:ascii="Simplified Arabic" w:hAnsi="Simplified Arabic" w:cs="Simplified Arabic"/>
          <w:sz w:val="24"/>
          <w:szCs w:val="24"/>
        </w:rPr>
      </w:pPr>
      <w:r w:rsidRPr="007B2B4C">
        <w:rPr>
          <w:rStyle w:val="Appelnotedebasdep"/>
          <w:rFonts w:ascii="Simplified Arabic" w:hAnsi="Simplified Arabic" w:cs="Simplified Arabic"/>
          <w:sz w:val="24"/>
          <w:szCs w:val="24"/>
        </w:rPr>
        <w:footnoteRef/>
      </w:r>
      <w:r w:rsidRPr="007B2B4C">
        <w:rPr>
          <w:rFonts w:ascii="Simplified Arabic" w:hAnsi="Simplified Arabic" w:cs="Simplified Arabic"/>
          <w:sz w:val="24"/>
          <w:szCs w:val="24"/>
          <w:rtl/>
        </w:rPr>
        <w:t xml:space="preserve"> انظر برهان الشاوي، </w:t>
      </w:r>
      <w:r w:rsidRPr="00227F40">
        <w:rPr>
          <w:rFonts w:ascii="Simplified Arabic" w:hAnsi="Simplified Arabic" w:cs="Simplified Arabic"/>
          <w:b/>
          <w:bCs/>
          <w:sz w:val="24"/>
          <w:szCs w:val="24"/>
          <w:u w:val="single"/>
          <w:rtl/>
        </w:rPr>
        <w:t>مدخل في الاتصال الجماهيري ونظرياته</w:t>
      </w:r>
      <w:r w:rsidRPr="007B2B4C">
        <w:rPr>
          <w:rFonts w:ascii="Simplified Arabic" w:hAnsi="Simplified Arabic" w:cs="Simplified Arabic"/>
          <w:sz w:val="24"/>
          <w:szCs w:val="24"/>
          <w:rtl/>
        </w:rPr>
        <w:t>، مرجع سبق ذكره،</w:t>
      </w:r>
      <w:r>
        <w:rPr>
          <w:rFonts w:ascii="Simplified Arabic" w:hAnsi="Simplified Arabic" w:cs="Simplified Arabic" w:hint="cs"/>
          <w:sz w:val="24"/>
          <w:szCs w:val="24"/>
          <w:rtl/>
        </w:rPr>
        <w:t xml:space="preserve"> </w:t>
      </w:r>
      <w:r w:rsidRPr="007B2B4C">
        <w:rPr>
          <w:rFonts w:ascii="Simplified Arabic" w:hAnsi="Simplified Arabic" w:cs="Simplified Arabic"/>
          <w:sz w:val="24"/>
          <w:szCs w:val="24"/>
          <w:rtl/>
        </w:rPr>
        <w:t>صص187.188.</w:t>
      </w:r>
    </w:p>
  </w:footnote>
  <w:footnote w:id="29">
    <w:p w:rsidR="00955879" w:rsidRPr="009E0004" w:rsidRDefault="00955879" w:rsidP="00955879">
      <w:pPr>
        <w:pStyle w:val="Notedebasdepage"/>
        <w:rPr>
          <w:rFonts w:ascii="Simplified Arabic" w:hAnsi="Simplified Arabic" w:cs="Simplified Arabic"/>
          <w:sz w:val="24"/>
          <w:szCs w:val="24"/>
        </w:rPr>
      </w:pPr>
      <w:r w:rsidRPr="009E0004">
        <w:rPr>
          <w:rStyle w:val="Appelnotedebasdep"/>
          <w:rFonts w:ascii="Simplified Arabic" w:hAnsi="Simplified Arabic" w:cs="Simplified Arabic"/>
          <w:sz w:val="24"/>
          <w:szCs w:val="24"/>
        </w:rPr>
        <w:footnoteRef/>
      </w:r>
      <w:r w:rsidRPr="009E0004">
        <w:rPr>
          <w:rFonts w:ascii="Simplified Arabic" w:hAnsi="Simplified Arabic" w:cs="Simplified Arabic"/>
          <w:sz w:val="24"/>
          <w:szCs w:val="24"/>
          <w:rtl/>
        </w:rPr>
        <w:t xml:space="preserve"> عاطف عدلي العبد، نهى عاطف العبد، مرجع سبق ذكره، ص 350.</w:t>
      </w:r>
    </w:p>
  </w:footnote>
  <w:footnote w:id="30">
    <w:p w:rsidR="00955879" w:rsidRPr="009E0004" w:rsidRDefault="00955879" w:rsidP="00955879">
      <w:pPr>
        <w:pStyle w:val="Notedebasdepage"/>
        <w:rPr>
          <w:rFonts w:ascii="Simplified Arabic" w:hAnsi="Simplified Arabic" w:cs="Simplified Arabic"/>
          <w:sz w:val="24"/>
          <w:szCs w:val="24"/>
        </w:rPr>
      </w:pPr>
      <w:r w:rsidRPr="009E0004">
        <w:rPr>
          <w:rStyle w:val="Appelnotedebasdep"/>
          <w:rFonts w:ascii="Simplified Arabic" w:hAnsi="Simplified Arabic" w:cs="Simplified Arabic"/>
          <w:sz w:val="24"/>
          <w:szCs w:val="24"/>
        </w:rPr>
        <w:footnoteRef/>
      </w:r>
      <w:r w:rsidRPr="009E0004">
        <w:rPr>
          <w:rFonts w:ascii="Simplified Arabic" w:hAnsi="Simplified Arabic" w:cs="Simplified Arabic"/>
          <w:sz w:val="24"/>
          <w:szCs w:val="24"/>
          <w:rtl/>
        </w:rPr>
        <w:t xml:space="preserve"> نسرين حسونة،</w:t>
      </w:r>
      <w:r>
        <w:rPr>
          <w:rFonts w:ascii="Simplified Arabic" w:hAnsi="Simplified Arabic" w:cs="Simplified Arabic" w:hint="cs"/>
          <w:sz w:val="24"/>
          <w:szCs w:val="24"/>
          <w:rtl/>
        </w:rPr>
        <w:t xml:space="preserve"> </w:t>
      </w:r>
      <w:r w:rsidRPr="009E0004">
        <w:rPr>
          <w:rFonts w:ascii="Simplified Arabic" w:hAnsi="Simplified Arabic" w:cs="Simplified Arabic"/>
          <w:b/>
          <w:bCs/>
          <w:sz w:val="24"/>
          <w:szCs w:val="24"/>
          <w:u w:val="single"/>
          <w:rtl/>
        </w:rPr>
        <w:t>نظريات الاعلام والاتصال</w:t>
      </w:r>
      <w:r w:rsidRPr="009E0004">
        <w:rPr>
          <w:rFonts w:ascii="Simplified Arabic" w:hAnsi="Simplified Arabic" w:cs="Simplified Arabic"/>
          <w:sz w:val="24"/>
          <w:szCs w:val="24"/>
          <w:rtl/>
        </w:rPr>
        <w:t>،</w:t>
      </w:r>
      <w:r>
        <w:rPr>
          <w:rFonts w:ascii="Simplified Arabic" w:hAnsi="Simplified Arabic" w:cs="Simplified Arabic" w:hint="cs"/>
          <w:sz w:val="24"/>
          <w:szCs w:val="24"/>
          <w:rtl/>
        </w:rPr>
        <w:t xml:space="preserve"> ش</w:t>
      </w:r>
      <w:r>
        <w:rPr>
          <w:rFonts w:ascii="Simplified Arabic" w:hAnsi="Simplified Arabic" w:cs="Simplified Arabic"/>
          <w:sz w:val="24"/>
          <w:szCs w:val="24"/>
          <w:rtl/>
        </w:rPr>
        <w:t>بكة ال</w:t>
      </w:r>
      <w:r>
        <w:rPr>
          <w:rFonts w:ascii="Simplified Arabic" w:hAnsi="Simplified Arabic" w:cs="Simplified Arabic" w:hint="cs"/>
          <w:sz w:val="24"/>
          <w:szCs w:val="24"/>
          <w:rtl/>
        </w:rPr>
        <w:t>أ</w:t>
      </w:r>
      <w:r w:rsidRPr="009E0004">
        <w:rPr>
          <w:rFonts w:ascii="Simplified Arabic" w:hAnsi="Simplified Arabic" w:cs="Simplified Arabic"/>
          <w:sz w:val="24"/>
          <w:szCs w:val="24"/>
          <w:rtl/>
        </w:rPr>
        <w:t>لوكة،</w:t>
      </w:r>
      <w:r w:rsidRPr="009E0004">
        <w:rPr>
          <w:rFonts w:ascii="Simplified Arabic" w:hAnsi="Simplified Arabic" w:cs="Simplified Arabic"/>
          <w:sz w:val="24"/>
          <w:szCs w:val="24"/>
        </w:rPr>
        <w:t xml:space="preserve"> </w:t>
      </w:r>
      <w:r w:rsidRPr="009E0004">
        <w:rPr>
          <w:rFonts w:ascii="Simplified Arabic" w:hAnsi="Simplified Arabic" w:cs="Simplified Arabic"/>
          <w:sz w:val="24"/>
          <w:szCs w:val="24"/>
          <w:rtl/>
        </w:rPr>
        <w:t xml:space="preserve">كتاب منشور </w:t>
      </w:r>
      <w:r w:rsidRPr="009E0004">
        <w:rPr>
          <w:rFonts w:ascii="Simplified Arabic" w:hAnsi="Simplified Arabic" w:cs="Simplified Arabic"/>
          <w:sz w:val="24"/>
          <w:szCs w:val="24"/>
          <w:lang w:val="fr-FR"/>
        </w:rPr>
        <w:t>PDF</w:t>
      </w:r>
      <w:r w:rsidRPr="009E0004">
        <w:rPr>
          <w:rFonts w:ascii="Simplified Arabic" w:hAnsi="Simplified Arabic" w:cs="Simplified Arabic"/>
          <w:sz w:val="24"/>
          <w:szCs w:val="24"/>
          <w:rtl/>
          <w:lang w:val="fr-FR"/>
        </w:rPr>
        <w:t xml:space="preserve"> ص19 على الرابط:</w:t>
      </w:r>
      <w:r w:rsidRPr="009E0004">
        <w:rPr>
          <w:rFonts w:ascii="Simplified Arabic" w:hAnsi="Simplified Arabic" w:cs="Simplified Arabic"/>
          <w:color w:val="006621"/>
          <w:sz w:val="24"/>
          <w:szCs w:val="24"/>
          <w:shd w:val="clear" w:color="auto" w:fill="FFFFFF"/>
        </w:rPr>
        <w:t xml:space="preserve"> </w:t>
      </w:r>
      <w:r w:rsidRPr="009E0004">
        <w:rPr>
          <w:rFonts w:ascii="Simplified Arabic" w:hAnsi="Simplified Arabic" w:cs="Simplified Arabic"/>
          <w:sz w:val="24"/>
          <w:szCs w:val="24"/>
        </w:rPr>
        <w:t>www.alukah.net/books/files/book_6269/bookfile/ealam.pdf</w:t>
      </w:r>
    </w:p>
    <w:p w:rsidR="00955879" w:rsidRPr="009E0004" w:rsidRDefault="00955879" w:rsidP="00955879">
      <w:pPr>
        <w:pStyle w:val="Notedebasdepage"/>
        <w:ind w:left="360"/>
        <w:rPr>
          <w:rFonts w:ascii="Simplified Arabic" w:hAnsi="Simplified Arabic" w:cs="Simplified Arabic"/>
          <w:sz w:val="24"/>
          <w:szCs w:val="24"/>
        </w:rPr>
      </w:pPr>
    </w:p>
    <w:p w:rsidR="00955879" w:rsidRPr="009E0004" w:rsidRDefault="00955879" w:rsidP="00955879">
      <w:pPr>
        <w:pStyle w:val="Notedebasdepage"/>
        <w:ind w:left="720"/>
        <w:rPr>
          <w:rFonts w:ascii="Simplified Arabic" w:hAnsi="Simplified Arabic" w:cs="Simplified Arabic"/>
          <w:sz w:val="24"/>
          <w:szCs w:val="24"/>
        </w:rPr>
      </w:pPr>
    </w:p>
    <w:p w:rsidR="00955879" w:rsidRPr="009E0004" w:rsidRDefault="00955879" w:rsidP="00955879">
      <w:pPr>
        <w:pStyle w:val="Notedebasdepage"/>
        <w:rPr>
          <w:rFonts w:ascii="Simplified Arabic" w:hAnsi="Simplified Arabic" w:cs="Simplified Arabic"/>
          <w:sz w:val="24"/>
          <w:szCs w:val="24"/>
          <w:rtl/>
          <w:lang w:val="fr-FR" w:bidi="ar-DZ"/>
        </w:rPr>
      </w:pPr>
      <w:hyperlink r:id="rId12" w:history="1">
        <w:r w:rsidRPr="009E0004">
          <w:rPr>
            <w:rStyle w:val="Lienhypertexte"/>
            <w:rFonts w:ascii="Simplified Arabic" w:hAnsi="Simplified Arabic" w:cs="Simplified Arabic"/>
            <w:sz w:val="24"/>
            <w:szCs w:val="24"/>
          </w:rPr>
          <w:br/>
        </w:r>
      </w:hyperlink>
    </w:p>
  </w:footnote>
  <w:footnote w:id="31">
    <w:p w:rsidR="00955879" w:rsidRPr="00F26449" w:rsidRDefault="00955879" w:rsidP="00955879">
      <w:pPr>
        <w:pStyle w:val="Notedebasdepage"/>
        <w:rPr>
          <w:rFonts w:ascii="Simplified Arabic" w:hAnsi="Simplified Arabic" w:cs="Simplified Arabic"/>
          <w:sz w:val="24"/>
          <w:szCs w:val="24"/>
          <w:lang w:val="fr-FR" w:bidi="ar-DZ"/>
        </w:rPr>
      </w:pPr>
      <w:r w:rsidRPr="00D41356">
        <w:rPr>
          <w:rStyle w:val="Appelnotedebasdep"/>
          <w:rFonts w:ascii="Simplified Arabic" w:hAnsi="Simplified Arabic"/>
          <w:sz w:val="24"/>
        </w:rPr>
        <w:footnoteRef/>
      </w:r>
      <w:r w:rsidRPr="00F26449">
        <w:rPr>
          <w:rFonts w:ascii="Simplified Arabic" w:hAnsi="Simplified Arabic" w:cs="Simplified Arabic"/>
          <w:sz w:val="24"/>
          <w:szCs w:val="24"/>
          <w:rtl/>
        </w:rPr>
        <w:t>انظر عبد العزيز تركستاني</w:t>
      </w:r>
      <w:r>
        <w:rPr>
          <w:rFonts w:ascii="Simplified Arabic" w:hAnsi="Simplified Arabic" w:cs="Simplified Arabic" w:hint="cs"/>
          <w:sz w:val="24"/>
          <w:szCs w:val="24"/>
          <w:rtl/>
        </w:rPr>
        <w:t xml:space="preserve"> ،</w:t>
      </w:r>
      <w:r w:rsidRPr="00F26449">
        <w:rPr>
          <w:rFonts w:ascii="Simplified Arabic" w:hAnsi="Simplified Arabic" w:cs="Simplified Arabic"/>
          <w:b/>
          <w:bCs/>
          <w:sz w:val="24"/>
          <w:szCs w:val="24"/>
          <w:u w:val="single"/>
          <w:rtl/>
        </w:rPr>
        <w:t>دور أجهزة العلاقات العامة في</w:t>
      </w:r>
      <w:r>
        <w:rPr>
          <w:rFonts w:ascii="Simplified Arabic" w:hAnsi="Simplified Arabic" w:cs="Simplified Arabic" w:hint="cs"/>
          <w:b/>
          <w:bCs/>
          <w:sz w:val="24"/>
          <w:szCs w:val="24"/>
          <w:u w:val="single"/>
          <w:rtl/>
        </w:rPr>
        <w:t xml:space="preserve"> </w:t>
      </w:r>
      <w:r w:rsidRPr="00F26449">
        <w:rPr>
          <w:rFonts w:ascii="Simplified Arabic" w:hAnsi="Simplified Arabic" w:cs="Simplified Arabic"/>
          <w:b/>
          <w:bCs/>
          <w:sz w:val="24"/>
          <w:szCs w:val="24"/>
          <w:u w:val="single"/>
          <w:rtl/>
        </w:rPr>
        <w:t>تكوين الصور الذهني</w:t>
      </w:r>
      <w:r w:rsidRPr="00F26449">
        <w:rPr>
          <w:rFonts w:ascii="Simplified Arabic" w:hAnsi="Simplified Arabic" w:cs="Simplified Arabic"/>
          <w:sz w:val="24"/>
          <w:szCs w:val="24"/>
          <w:rtl/>
        </w:rPr>
        <w:t>ة للمملكة،</w:t>
      </w:r>
      <w:r>
        <w:rPr>
          <w:rFonts w:ascii="Simplified Arabic" w:hAnsi="Simplified Arabic" w:cs="Simplified Arabic" w:hint="cs"/>
          <w:sz w:val="24"/>
          <w:szCs w:val="24"/>
          <w:rtl/>
        </w:rPr>
        <w:t xml:space="preserve"> </w:t>
      </w:r>
      <w:r w:rsidRPr="00F26449">
        <w:rPr>
          <w:rFonts w:ascii="Simplified Arabic" w:hAnsi="Simplified Arabic" w:cs="Simplified Arabic"/>
          <w:sz w:val="24"/>
          <w:szCs w:val="24"/>
          <w:rtl/>
        </w:rPr>
        <w:t>الجمعية السعودية للإعلام و الاتصال المنتدى الإعلامي السنوي الثاني،</w:t>
      </w:r>
      <w:r>
        <w:rPr>
          <w:rFonts w:ascii="Simplified Arabic" w:hAnsi="Simplified Arabic" w:cs="Simplified Arabic" w:hint="cs"/>
          <w:sz w:val="24"/>
          <w:szCs w:val="24"/>
          <w:rtl/>
        </w:rPr>
        <w:t xml:space="preserve"> </w:t>
      </w:r>
      <w:r w:rsidRPr="00F26449">
        <w:rPr>
          <w:rFonts w:ascii="Simplified Arabic" w:hAnsi="Simplified Arabic" w:cs="Simplified Arabic"/>
          <w:sz w:val="24"/>
          <w:szCs w:val="24"/>
          <w:rtl/>
        </w:rPr>
        <w:t xml:space="preserve">اكتوبر 2004،ص08 ،منشور على الرابط </w:t>
      </w:r>
      <w:r w:rsidRPr="00F26449">
        <w:rPr>
          <w:rFonts w:ascii="Simplified Arabic" w:hAnsi="Simplified Arabic" w:cs="Simplified Arabic"/>
          <w:sz w:val="24"/>
          <w:szCs w:val="24"/>
        </w:rPr>
        <w:t xml:space="preserve">word </w:t>
      </w:r>
      <w:r w:rsidRPr="00F26449">
        <w:rPr>
          <w:rFonts w:ascii="Simplified Arabic" w:hAnsi="Simplified Arabic" w:cs="Simplified Arabic"/>
          <w:sz w:val="24"/>
          <w:szCs w:val="24"/>
          <w:rtl/>
          <w:lang w:bidi="ar-DZ"/>
        </w:rPr>
        <w:t>.</w:t>
      </w:r>
      <w:r w:rsidRPr="00F26449">
        <w:rPr>
          <w:rFonts w:ascii="Simplified Arabic" w:hAnsi="Simplified Arabic" w:cs="Simplified Arabic"/>
          <w:sz w:val="24"/>
          <w:szCs w:val="24"/>
          <w:lang w:bidi="ar-DZ"/>
        </w:rPr>
        <w:t>faculty.ksu.edu.sa</w:t>
      </w:r>
      <w:r w:rsidRPr="00F26449">
        <w:rPr>
          <w:rFonts w:ascii="Simplified Arabic" w:hAnsi="Simplified Arabic" w:cs="Simplified Arabic"/>
          <w:sz w:val="24"/>
          <w:szCs w:val="24"/>
          <w:rtl/>
          <w:lang w:bidi="ar-DZ"/>
        </w:rPr>
        <w:t xml:space="preserve">  شوهد يوم 12/05/2014</w:t>
      </w:r>
      <w:r>
        <w:rPr>
          <w:rFonts w:ascii="Simplified Arabic" w:hAnsi="Simplified Arabic" w:cs="Simplified Arabic"/>
          <w:sz w:val="24"/>
          <w:szCs w:val="24"/>
          <w:rtl/>
          <w:lang w:bidi="ar-DZ"/>
        </w:rPr>
        <w:t xml:space="preserve">..على الساعة </w:t>
      </w:r>
      <w:r w:rsidRPr="00F26449">
        <w:rPr>
          <w:rFonts w:ascii="Simplified Arabic" w:hAnsi="Simplified Arabic" w:cs="Simplified Arabic"/>
          <w:sz w:val="24"/>
          <w:szCs w:val="24"/>
          <w:rtl/>
          <w:lang w:bidi="ar-DZ"/>
        </w:rPr>
        <w:t>.21.06</w:t>
      </w:r>
      <w:r>
        <w:rPr>
          <w:rFonts w:ascii="Simplified Arabic" w:hAnsi="Simplified Arabic" w:cs="Simplified Arabic"/>
          <w:sz w:val="24"/>
          <w:szCs w:val="24"/>
          <w:rtl/>
          <w:lang w:bidi="ar-DZ"/>
        </w:rPr>
        <w:t>.</w:t>
      </w:r>
    </w:p>
  </w:footnote>
  <w:footnote w:id="32">
    <w:p w:rsidR="00955879" w:rsidRPr="00AD0E61" w:rsidRDefault="00955879" w:rsidP="00955879">
      <w:pPr>
        <w:pStyle w:val="Notedebasdepage"/>
        <w:rPr>
          <w:rFonts w:ascii="Simplified Arabic" w:hAnsi="Simplified Arabic" w:cs="Simplified Arabic"/>
          <w:sz w:val="24"/>
          <w:szCs w:val="24"/>
        </w:rPr>
      </w:pPr>
      <w:r w:rsidRPr="00AD0E61">
        <w:rPr>
          <w:rStyle w:val="Appelnotedebasdep"/>
          <w:rFonts w:ascii="Simplified Arabic" w:hAnsi="Simplified Arabic" w:cs="Simplified Arabic"/>
          <w:sz w:val="24"/>
          <w:szCs w:val="24"/>
        </w:rPr>
        <w:footnoteRef/>
      </w:r>
      <w:r w:rsidRPr="00AD0E61">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انظر </w:t>
      </w:r>
      <w:r w:rsidRPr="00AD0E61">
        <w:rPr>
          <w:rFonts w:ascii="Simplified Arabic" w:hAnsi="Simplified Arabic" w:cs="Simplified Arabic"/>
          <w:sz w:val="24"/>
          <w:szCs w:val="24"/>
          <w:rtl/>
        </w:rPr>
        <w:t xml:space="preserve">محمود حسن اسماعيل، </w:t>
      </w:r>
      <w:r w:rsidRPr="00AD0E61">
        <w:rPr>
          <w:rFonts w:ascii="Simplified Arabic" w:hAnsi="Simplified Arabic" w:cs="Simplified Arabic"/>
          <w:b/>
          <w:bCs/>
          <w:sz w:val="24"/>
          <w:szCs w:val="24"/>
          <w:u w:val="single"/>
          <w:rtl/>
        </w:rPr>
        <w:t>مبادئ علم الاتصال، ونظريات التأثير</w:t>
      </w:r>
      <w:r w:rsidRPr="00AD0E61">
        <w:rPr>
          <w:rFonts w:ascii="Simplified Arabic" w:hAnsi="Simplified Arabic" w:cs="Simplified Arabic"/>
          <w:sz w:val="24"/>
          <w:szCs w:val="24"/>
          <w:rtl/>
        </w:rPr>
        <w:t xml:space="preserve"> ،الدار العالمي</w:t>
      </w:r>
      <w:r>
        <w:rPr>
          <w:rFonts w:ascii="Simplified Arabic" w:hAnsi="Simplified Arabic" w:cs="Simplified Arabic"/>
          <w:sz w:val="24"/>
          <w:szCs w:val="24"/>
          <w:rtl/>
        </w:rPr>
        <w:t>ة للنشر والتوزيع، مصر ،سنة 2003</w:t>
      </w:r>
      <w:r w:rsidRPr="00AD0E61">
        <w:rPr>
          <w:rFonts w:ascii="Simplified Arabic" w:hAnsi="Simplified Arabic" w:cs="Simplified Arabic"/>
          <w:sz w:val="24"/>
          <w:szCs w:val="24"/>
          <w:rtl/>
        </w:rPr>
        <w:t>ط1،ص264.</w:t>
      </w:r>
    </w:p>
  </w:footnote>
  <w:footnote w:id="33">
    <w:p w:rsidR="00955879" w:rsidRPr="002E7DD0" w:rsidRDefault="00955879" w:rsidP="00955879">
      <w:pPr>
        <w:pStyle w:val="Notedebasdepage"/>
        <w:rPr>
          <w:rFonts w:ascii="Simplified Arabic" w:hAnsi="Simplified Arabic" w:cs="Simplified Arabic"/>
          <w:sz w:val="24"/>
          <w:szCs w:val="24"/>
          <w:rtl/>
          <w:lang w:bidi="ar-DZ"/>
        </w:rPr>
      </w:pPr>
      <w:r w:rsidRPr="00D41356">
        <w:rPr>
          <w:rStyle w:val="Appelnotedebasdep"/>
          <w:rFonts w:ascii="Simplified Arabic" w:hAnsi="Simplified Arabic"/>
          <w:sz w:val="24"/>
        </w:rPr>
        <w:footnoteRef/>
      </w:r>
      <w:hyperlink r:id="rId13" w:history="1">
        <w:r w:rsidRPr="002E7DD0">
          <w:rPr>
            <w:rStyle w:val="Lienhypertexte"/>
            <w:rFonts w:ascii="Simplified Arabic" w:hAnsi="Simplified Arabic" w:cs="Simplified Arabic"/>
            <w:sz w:val="24"/>
            <w:szCs w:val="24"/>
            <w:rtl/>
          </w:rPr>
          <w:t>وجدي حلمي عيد عبد الظاهر</w:t>
        </w:r>
      </w:hyperlink>
      <w:r w:rsidRPr="002E7DD0">
        <w:rPr>
          <w:rFonts w:ascii="Simplified Arabic" w:hAnsi="Simplified Arabic" w:cs="Simplified Arabic"/>
          <w:sz w:val="24"/>
          <w:szCs w:val="24"/>
          <w:rtl/>
          <w:lang w:bidi="ar-DZ"/>
        </w:rPr>
        <w:t>،</w:t>
      </w:r>
      <w:r w:rsidRPr="002E7DD0">
        <w:rPr>
          <w:rFonts w:ascii="Simplified Arabic" w:hAnsi="Simplified Arabic" w:cs="Simplified Arabic"/>
          <w:b/>
          <w:bCs/>
          <w:sz w:val="24"/>
          <w:szCs w:val="24"/>
          <w:u w:val="single"/>
          <w:lang w:bidi="ar-DZ"/>
        </w:rPr>
        <w:t>   </w:t>
      </w:r>
      <w:hyperlink r:id="rId14" w:history="1">
        <w:r w:rsidRPr="002E7DD0">
          <w:rPr>
            <w:rStyle w:val="Lienhypertexte"/>
            <w:rFonts w:ascii="Simplified Arabic" w:hAnsi="Simplified Arabic" w:cs="Simplified Arabic"/>
            <w:b/>
            <w:bCs/>
            <w:sz w:val="24"/>
            <w:szCs w:val="24"/>
            <w:rtl/>
          </w:rPr>
          <w:t>نظرية الغرس الثقافي</w:t>
        </w:r>
      </w:hyperlink>
      <w:r w:rsidRPr="002E7DD0">
        <w:rPr>
          <w:rFonts w:ascii="Simplified Arabic" w:hAnsi="Simplified Arabic" w:cs="Simplified Arabic"/>
          <w:sz w:val="24"/>
          <w:szCs w:val="24"/>
          <w:rtl/>
          <w:lang w:bidi="ar-DZ"/>
        </w:rPr>
        <w:t>،مقال</w:t>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 xml:space="preserve">نشر يوم 10/12/2013 </w:t>
      </w:r>
      <w:r>
        <w:rPr>
          <w:rFonts w:ascii="Simplified Arabic" w:hAnsi="Simplified Arabic" w:cs="Simplified Arabic" w:hint="cs"/>
          <w:sz w:val="24"/>
          <w:szCs w:val="24"/>
          <w:rtl/>
          <w:lang w:bidi="ar-DZ"/>
        </w:rPr>
        <w:t>،</w:t>
      </w:r>
      <w:r w:rsidRPr="002E7DD0">
        <w:rPr>
          <w:rFonts w:ascii="Simplified Arabic" w:hAnsi="Simplified Arabic" w:cs="Simplified Arabic"/>
          <w:sz w:val="24"/>
          <w:szCs w:val="24"/>
          <w:rtl/>
          <w:lang w:bidi="ar-DZ"/>
        </w:rPr>
        <w:t>شوهد يوم 24/1/2014 على الساعة 20.04منشور على الرابط:</w:t>
      </w:r>
      <w:r w:rsidRPr="002E7DD0">
        <w:rPr>
          <w:rFonts w:ascii="Simplified Arabic" w:hAnsi="Simplified Arabic" w:cs="Simplified Arabic"/>
          <w:sz w:val="24"/>
          <w:szCs w:val="24"/>
          <w:lang w:bidi="ar-DZ"/>
        </w:rPr>
        <w:t>constantine3.blogspot.com/2013_12_01_archive.html</w:t>
      </w:r>
      <w:r w:rsidRPr="002E7DD0">
        <w:rPr>
          <w:rFonts w:ascii="Simplified Arabic" w:hAnsi="Simplified Arabic" w:cs="Simplified Arabic"/>
          <w:sz w:val="24"/>
          <w:szCs w:val="24"/>
          <w:rtl/>
          <w:lang w:bidi="ar-DZ"/>
        </w:rPr>
        <w:t>ا</w:t>
      </w:r>
    </w:p>
  </w:footnote>
  <w:footnote w:id="34">
    <w:p w:rsidR="00955879" w:rsidRPr="00807BC7" w:rsidRDefault="00955879" w:rsidP="00955879">
      <w:pPr>
        <w:pStyle w:val="Notedebasdepage"/>
        <w:rPr>
          <w:rFonts w:ascii="Simplified Arabic" w:hAnsi="Simplified Arabic" w:cs="Simplified Arabic"/>
          <w:sz w:val="24"/>
          <w:szCs w:val="24"/>
          <w:rtl/>
        </w:rPr>
      </w:pPr>
      <w:r w:rsidRPr="00D41356">
        <w:rPr>
          <w:rStyle w:val="Appelnotedebasdep"/>
          <w:rFonts w:ascii="Simplified Arabic" w:hAnsi="Simplified Arabic"/>
          <w:sz w:val="24"/>
        </w:rPr>
        <w:footnoteRef/>
      </w:r>
      <w:r w:rsidRPr="00807BC7">
        <w:rPr>
          <w:rFonts w:ascii="Simplified Arabic" w:hAnsi="Simplified Arabic" w:cs="Simplified Arabic"/>
          <w:sz w:val="24"/>
          <w:szCs w:val="24"/>
          <w:rtl/>
        </w:rPr>
        <w:t>توفيق الــســـعد،</w:t>
      </w:r>
      <w:r>
        <w:rPr>
          <w:rFonts w:ascii="Simplified Arabic" w:hAnsi="Simplified Arabic" w:cs="Simplified Arabic" w:hint="cs"/>
          <w:sz w:val="24"/>
          <w:szCs w:val="24"/>
          <w:rtl/>
        </w:rPr>
        <w:t xml:space="preserve"> </w:t>
      </w:r>
      <w:r w:rsidRPr="00807BC7">
        <w:rPr>
          <w:rFonts w:ascii="Simplified Arabic" w:hAnsi="Simplified Arabic" w:cs="Simplified Arabic"/>
          <w:b/>
          <w:bCs/>
          <w:sz w:val="24"/>
          <w:szCs w:val="24"/>
          <w:u w:val="single"/>
          <w:rtl/>
        </w:rPr>
        <w:t xml:space="preserve">الغرس الثقافي </w:t>
      </w:r>
      <w:r w:rsidRPr="00807BC7">
        <w:rPr>
          <w:rFonts w:ascii="Simplified Arabic" w:hAnsi="Simplified Arabic" w:cs="Simplified Arabic"/>
          <w:sz w:val="24"/>
          <w:szCs w:val="24"/>
          <w:rtl/>
        </w:rPr>
        <w:t>، مجلة الحوار المتمدن، العدد 3346،</w:t>
      </w:r>
      <w:r>
        <w:rPr>
          <w:rFonts w:ascii="Simplified Arabic" w:hAnsi="Simplified Arabic" w:cs="Simplified Arabic" w:hint="cs"/>
          <w:sz w:val="24"/>
          <w:szCs w:val="24"/>
          <w:rtl/>
        </w:rPr>
        <w:t xml:space="preserve"> </w:t>
      </w:r>
      <w:r w:rsidRPr="00807BC7">
        <w:rPr>
          <w:rFonts w:ascii="Simplified Arabic" w:hAnsi="Simplified Arabic" w:cs="Simplified Arabic"/>
          <w:sz w:val="24"/>
          <w:szCs w:val="24"/>
          <w:rtl/>
        </w:rPr>
        <w:t>مقال منشور يوم 24/04/2011على الرابط:</w:t>
      </w:r>
    </w:p>
    <w:p w:rsidR="00955879" w:rsidRPr="00382ACE" w:rsidRDefault="00955879" w:rsidP="00955879">
      <w:pPr>
        <w:pStyle w:val="Notedebasdepage"/>
        <w:rPr>
          <w:rFonts w:ascii="Simplified Arabic" w:hAnsi="Simplified Arabic" w:cs="Simplified Arabic"/>
          <w:sz w:val="24"/>
          <w:szCs w:val="24"/>
          <w:rtl/>
          <w:lang w:bidi="ar-DZ"/>
        </w:rPr>
      </w:pPr>
      <w:hyperlink r:id="rId15" w:history="1">
        <w:r w:rsidRPr="00382ACE">
          <w:rPr>
            <w:rStyle w:val="Lienhypertexte"/>
            <w:rFonts w:ascii="Simplified Arabic" w:hAnsi="Simplified Arabic" w:cs="Simplified Arabic"/>
            <w:sz w:val="24"/>
            <w:szCs w:val="24"/>
          </w:rPr>
          <w:t>http://www.ahewar.org/debat/show.art.asp?aid=256306</w:t>
        </w:r>
      </w:hyperlink>
      <w:r w:rsidRPr="00382ACE">
        <w:rPr>
          <w:rFonts w:ascii="Simplified Arabic" w:hAnsi="Simplified Arabic" w:cs="Simplified Arabic"/>
          <w:sz w:val="24"/>
          <w:szCs w:val="24"/>
          <w:rtl/>
        </w:rPr>
        <w:t xml:space="preserve">  شوهد يوم12/05/2014 .....على الساعة .12.05</w:t>
      </w:r>
    </w:p>
  </w:footnote>
  <w:footnote w:id="35">
    <w:p w:rsidR="00955879" w:rsidRPr="00807BC7" w:rsidRDefault="00955879" w:rsidP="00955879">
      <w:pPr>
        <w:pStyle w:val="Notedebasdepage"/>
        <w:rPr>
          <w:rFonts w:ascii="Simplified Arabic" w:hAnsi="Simplified Arabic" w:cs="Simplified Arabic"/>
          <w:sz w:val="24"/>
          <w:szCs w:val="24"/>
          <w:lang w:bidi="ar-DZ"/>
        </w:rPr>
      </w:pPr>
      <w:r w:rsidRPr="00807BC7">
        <w:rPr>
          <w:rStyle w:val="Appelnotedebasdep"/>
          <w:rFonts w:ascii="Simplified Arabic" w:hAnsi="Simplified Arabic" w:cs="Simplified Arabic"/>
          <w:sz w:val="24"/>
          <w:szCs w:val="24"/>
        </w:rPr>
        <w:footnoteRef/>
      </w:r>
      <w:r w:rsidRPr="00CE706E">
        <w:rPr>
          <w:rFonts w:ascii="Simplified Arabic" w:hAnsi="Simplified Arabic" w:cs="Simplified Arabic"/>
          <w:sz w:val="24"/>
          <w:szCs w:val="24"/>
          <w:rtl/>
        </w:rPr>
        <w:t>اسامة بن مساعد</w:t>
      </w:r>
      <w:r w:rsidRPr="00807BC7">
        <w:rPr>
          <w:rFonts w:ascii="Simplified Arabic" w:hAnsi="Simplified Arabic" w:cs="Simplified Arabic"/>
          <w:b/>
          <w:bCs/>
          <w:sz w:val="24"/>
          <w:szCs w:val="24"/>
          <w:rtl/>
        </w:rPr>
        <w:t xml:space="preserve">، </w:t>
      </w:r>
      <w:r w:rsidRPr="00807BC7">
        <w:rPr>
          <w:rFonts w:ascii="Simplified Arabic" w:hAnsi="Simplified Arabic" w:cs="Simplified Arabic"/>
          <w:b/>
          <w:bCs/>
          <w:sz w:val="24"/>
          <w:szCs w:val="24"/>
          <w:u w:val="single"/>
          <w:rtl/>
        </w:rPr>
        <w:t>نظريات التأثير الاعلامية</w:t>
      </w:r>
      <w:r w:rsidRPr="00807BC7">
        <w:rPr>
          <w:rFonts w:ascii="Simplified Arabic" w:hAnsi="Simplified Arabic" w:cs="Simplified Arabic"/>
          <w:sz w:val="24"/>
          <w:szCs w:val="24"/>
          <w:rtl/>
        </w:rPr>
        <w:t>، مرجع سبق كره ،</w:t>
      </w:r>
      <w:r>
        <w:rPr>
          <w:rFonts w:ascii="Simplified Arabic" w:hAnsi="Simplified Arabic" w:cs="Simplified Arabic" w:hint="cs"/>
          <w:sz w:val="24"/>
          <w:szCs w:val="24"/>
          <w:rtl/>
        </w:rPr>
        <w:t xml:space="preserve"> </w:t>
      </w:r>
      <w:r w:rsidRPr="00807BC7">
        <w:rPr>
          <w:rFonts w:ascii="Simplified Arabic" w:hAnsi="Simplified Arabic" w:cs="Simplified Arabic"/>
          <w:sz w:val="24"/>
          <w:szCs w:val="24"/>
          <w:rtl/>
        </w:rPr>
        <w:t>ص 28.</w:t>
      </w:r>
    </w:p>
  </w:footnote>
  <w:footnote w:id="36">
    <w:p w:rsidR="00955879" w:rsidRPr="00807BC7" w:rsidRDefault="00955879" w:rsidP="00955879">
      <w:pPr>
        <w:pStyle w:val="Notedebasdepage"/>
        <w:rPr>
          <w:rFonts w:ascii="Simplified Arabic" w:hAnsi="Simplified Arabic" w:cs="Simplified Arabic"/>
          <w:sz w:val="24"/>
          <w:szCs w:val="24"/>
          <w:lang w:bidi="ar-DZ"/>
        </w:rPr>
      </w:pPr>
      <w:r w:rsidRPr="00807BC7">
        <w:rPr>
          <w:rStyle w:val="Appelnotedebasdep"/>
          <w:rFonts w:ascii="Simplified Arabic" w:hAnsi="Simplified Arabic" w:cs="Simplified Arabic"/>
          <w:sz w:val="24"/>
          <w:szCs w:val="24"/>
        </w:rPr>
        <w:footnoteRef/>
      </w:r>
      <w:r w:rsidRPr="00807BC7">
        <w:rPr>
          <w:rFonts w:ascii="Simplified Arabic" w:hAnsi="Simplified Arabic" w:cs="Simplified Arabic"/>
          <w:sz w:val="24"/>
          <w:szCs w:val="24"/>
          <w:rtl/>
        </w:rPr>
        <w:t xml:space="preserve"> توفيق السعد،  مقال</w:t>
      </w:r>
      <w:r w:rsidRPr="00807BC7">
        <w:rPr>
          <w:rFonts w:ascii="Simplified Arabic" w:hAnsi="Simplified Arabic" w:cs="Simplified Arabic"/>
          <w:b/>
          <w:bCs/>
          <w:sz w:val="24"/>
          <w:szCs w:val="24"/>
          <w:u w:val="single"/>
          <w:rtl/>
        </w:rPr>
        <w:t xml:space="preserve"> الغرس الثقافي </w:t>
      </w:r>
      <w:r w:rsidRPr="00807BC7">
        <w:rPr>
          <w:rFonts w:ascii="Simplified Arabic" w:hAnsi="Simplified Arabic" w:cs="Simplified Arabic"/>
          <w:sz w:val="24"/>
          <w:szCs w:val="24"/>
          <w:rtl/>
        </w:rPr>
        <w:t>،مرجع  سبق ذكره.</w:t>
      </w:r>
    </w:p>
  </w:footnote>
  <w:footnote w:id="37">
    <w:p w:rsidR="00955879" w:rsidRPr="00807BC7" w:rsidRDefault="00955879" w:rsidP="00955879">
      <w:pPr>
        <w:pStyle w:val="Notedebasdepage"/>
        <w:rPr>
          <w:rFonts w:ascii="Simplified Arabic" w:hAnsi="Simplified Arabic" w:cs="Simplified Arabic"/>
          <w:sz w:val="24"/>
          <w:szCs w:val="24"/>
          <w:lang w:bidi="ar-DZ"/>
        </w:rPr>
      </w:pPr>
      <w:r w:rsidRPr="00807BC7">
        <w:rPr>
          <w:rStyle w:val="Appelnotedebasdep"/>
          <w:rFonts w:ascii="Simplified Arabic" w:hAnsi="Simplified Arabic" w:cs="Simplified Arabic"/>
          <w:sz w:val="24"/>
          <w:szCs w:val="24"/>
        </w:rPr>
        <w:footnoteRef/>
      </w:r>
      <w:r w:rsidRPr="00807BC7">
        <w:rPr>
          <w:rFonts w:ascii="Simplified Arabic" w:hAnsi="Simplified Arabic" w:cs="Simplified Arabic"/>
          <w:sz w:val="24"/>
          <w:szCs w:val="24"/>
          <w:rtl/>
        </w:rPr>
        <w:t xml:space="preserve">انظر </w:t>
      </w:r>
      <w:hyperlink r:id="rId16" w:history="1">
        <w:r w:rsidRPr="00807BC7">
          <w:rPr>
            <w:rStyle w:val="Lienhypertexte"/>
            <w:rFonts w:ascii="Simplified Arabic" w:hAnsi="Simplified Arabic" w:cs="Simplified Arabic"/>
            <w:sz w:val="24"/>
            <w:szCs w:val="24"/>
            <w:rtl/>
          </w:rPr>
          <w:t>وجدي حلمي عيد عبد الظاهر</w:t>
        </w:r>
      </w:hyperlink>
      <w:r w:rsidRPr="00807BC7">
        <w:rPr>
          <w:rFonts w:ascii="Simplified Arabic" w:hAnsi="Simplified Arabic" w:cs="Simplified Arabic"/>
          <w:sz w:val="24"/>
          <w:szCs w:val="24"/>
          <w:rtl/>
          <w:lang w:bidi="ar-DZ"/>
        </w:rPr>
        <w:t>،،مقال</w:t>
      </w:r>
      <w:r w:rsidRPr="00807BC7">
        <w:rPr>
          <w:rFonts w:ascii="Simplified Arabic" w:hAnsi="Simplified Arabic" w:cs="Simplified Arabic"/>
          <w:b/>
          <w:bCs/>
          <w:sz w:val="24"/>
          <w:szCs w:val="24"/>
          <w:u w:val="single"/>
          <w:lang w:bidi="ar-DZ"/>
        </w:rPr>
        <w:t>   </w:t>
      </w:r>
      <w:hyperlink r:id="rId17" w:history="1">
        <w:r w:rsidRPr="00CE706E">
          <w:rPr>
            <w:rStyle w:val="Lienhypertexte"/>
            <w:rFonts w:ascii="Simplified Arabic" w:hAnsi="Simplified Arabic" w:cs="Simplified Arabic"/>
            <w:b/>
            <w:bCs/>
            <w:sz w:val="24"/>
            <w:szCs w:val="24"/>
            <w:rtl/>
          </w:rPr>
          <w:t>نظرية الغرس الثقافي</w:t>
        </w:r>
      </w:hyperlink>
      <w:r>
        <w:rPr>
          <w:rFonts w:ascii="Simplified Arabic" w:hAnsi="Simplified Arabic" w:cs="Simplified Arabic"/>
          <w:sz w:val="24"/>
          <w:szCs w:val="24"/>
          <w:rtl/>
          <w:lang w:bidi="ar-DZ"/>
        </w:rPr>
        <w:t>، مرجع سبق ذكره.</w:t>
      </w:r>
    </w:p>
  </w:footnote>
  <w:footnote w:id="38">
    <w:p w:rsidR="00955879" w:rsidRDefault="00955879" w:rsidP="00955879">
      <w:pPr>
        <w:pStyle w:val="Notedebasdepage"/>
      </w:pPr>
      <w:r>
        <w:rPr>
          <w:rStyle w:val="Appelnotedebasdep"/>
        </w:rPr>
        <w:footnoteRef/>
      </w:r>
      <w:r>
        <w:rPr>
          <w:rtl/>
        </w:rPr>
        <w:t xml:space="preserve"> </w:t>
      </w:r>
      <w:r w:rsidRPr="00D52E87">
        <w:rPr>
          <w:rFonts w:ascii="Simplified Arabic" w:hAnsi="Simplified Arabic" w:cs="Simplified Arabic"/>
          <w:sz w:val="24"/>
          <w:szCs w:val="24"/>
          <w:rtl/>
        </w:rPr>
        <w:t>انظر بسيوني ابراهيم ،</w:t>
      </w:r>
      <w:r w:rsidRPr="00D52E87">
        <w:rPr>
          <w:rFonts w:ascii="Simplified Arabic" w:hAnsi="Simplified Arabic" w:cs="Simplified Arabic"/>
          <w:b/>
          <w:bCs/>
          <w:sz w:val="24"/>
          <w:szCs w:val="24"/>
          <w:u w:val="single"/>
          <w:rtl/>
        </w:rPr>
        <w:t>دراسات في الاعلام وتكنولوجيا الاتصال والراي العام</w:t>
      </w:r>
      <w:r w:rsidRPr="00D52E87">
        <w:rPr>
          <w:rFonts w:ascii="Simplified Arabic" w:hAnsi="Simplified Arabic" w:cs="Simplified Arabic"/>
          <w:sz w:val="24"/>
          <w:szCs w:val="24"/>
          <w:rtl/>
        </w:rPr>
        <w:t xml:space="preserve"> ،مرجع سبق ذكره،ص119</w:t>
      </w:r>
    </w:p>
  </w:footnote>
  <w:footnote w:id="39">
    <w:p w:rsidR="00955879" w:rsidRPr="00DA279F" w:rsidRDefault="00955879" w:rsidP="00955879">
      <w:pPr>
        <w:pStyle w:val="Notedebasdepage"/>
        <w:rPr>
          <w:rFonts w:ascii="Simplified Arabic" w:hAnsi="Simplified Arabic" w:cs="Simplified Arabic"/>
          <w:sz w:val="24"/>
          <w:szCs w:val="24"/>
        </w:rPr>
      </w:pPr>
      <w:r>
        <w:rPr>
          <w:rStyle w:val="Appelnotedebasdep"/>
        </w:rPr>
        <w:footnoteRef/>
      </w:r>
      <w:r>
        <w:rPr>
          <w:rFonts w:ascii="Simplified Arabic" w:hAnsi="Simplified Arabic" w:cs="Simplified Arabic"/>
          <w:sz w:val="24"/>
          <w:szCs w:val="24"/>
          <w:rtl/>
        </w:rPr>
        <w:t>انظ</w:t>
      </w:r>
      <w:r>
        <w:rPr>
          <w:rFonts w:ascii="Simplified Arabic" w:hAnsi="Simplified Arabic" w:cs="Simplified Arabic" w:hint="cs"/>
          <w:sz w:val="24"/>
          <w:szCs w:val="24"/>
          <w:rtl/>
        </w:rPr>
        <w:t xml:space="preserve">ر </w:t>
      </w:r>
      <w:r w:rsidRPr="00DA279F">
        <w:rPr>
          <w:rFonts w:ascii="Simplified Arabic" w:hAnsi="Simplified Arabic" w:cs="Simplified Arabic"/>
          <w:sz w:val="24"/>
          <w:szCs w:val="24"/>
          <w:rtl/>
        </w:rPr>
        <w:t xml:space="preserve">امينة صابر، </w:t>
      </w:r>
      <w:r w:rsidRPr="00DA279F">
        <w:rPr>
          <w:rFonts w:ascii="Simplified Arabic" w:hAnsi="Simplified Arabic" w:cs="Simplified Arabic"/>
          <w:b/>
          <w:bCs/>
          <w:sz w:val="24"/>
          <w:szCs w:val="24"/>
          <w:u w:val="single"/>
          <w:rtl/>
        </w:rPr>
        <w:t>نظرية الغرس الثقافي</w:t>
      </w:r>
      <w:r>
        <w:rPr>
          <w:rFonts w:ascii="Simplified Arabic" w:hAnsi="Simplified Arabic" w:cs="Simplified Arabic"/>
          <w:sz w:val="24"/>
          <w:szCs w:val="24"/>
          <w:rtl/>
        </w:rPr>
        <w:t xml:space="preserve"> ،كلية التربية </w:t>
      </w:r>
      <w:r>
        <w:rPr>
          <w:rFonts w:ascii="Simplified Arabic" w:hAnsi="Simplified Arabic" w:cs="Simplified Arabic" w:hint="cs"/>
          <w:sz w:val="24"/>
          <w:szCs w:val="24"/>
          <w:rtl/>
        </w:rPr>
        <w:t>،</w:t>
      </w:r>
      <w:r w:rsidRPr="00DA279F">
        <w:rPr>
          <w:rFonts w:ascii="Simplified Arabic" w:hAnsi="Simplified Arabic" w:cs="Simplified Arabic"/>
          <w:sz w:val="24"/>
          <w:szCs w:val="24"/>
          <w:rtl/>
        </w:rPr>
        <w:t>جامعة طنطا، ،صص11.12.</w:t>
      </w:r>
    </w:p>
  </w:footnote>
  <w:footnote w:id="40">
    <w:p w:rsidR="00955879" w:rsidRPr="00B853AF" w:rsidRDefault="00955879" w:rsidP="00955879">
      <w:pPr>
        <w:pStyle w:val="Notedebasdepage"/>
        <w:rPr>
          <w:rFonts w:ascii="Simplified Arabic" w:hAnsi="Simplified Arabic" w:cs="Simplified Arabic"/>
          <w:sz w:val="24"/>
          <w:szCs w:val="24"/>
        </w:rPr>
      </w:pPr>
      <w:r w:rsidRPr="00B853AF">
        <w:rPr>
          <w:rStyle w:val="Appelnotedebasdep"/>
          <w:rFonts w:ascii="Simplified Arabic" w:hAnsi="Simplified Arabic" w:cs="Simplified Arabic"/>
          <w:sz w:val="24"/>
          <w:szCs w:val="24"/>
        </w:rPr>
        <w:footnoteRef/>
      </w:r>
      <w:r w:rsidRPr="00B853AF">
        <w:rPr>
          <w:rFonts w:ascii="Simplified Arabic" w:hAnsi="Simplified Arabic" w:cs="Simplified Arabic"/>
          <w:sz w:val="24"/>
          <w:szCs w:val="24"/>
          <w:rtl/>
        </w:rPr>
        <w:t xml:space="preserve"> أنظر</w:t>
      </w:r>
      <w:r>
        <w:rPr>
          <w:rFonts w:ascii="Simplified Arabic" w:hAnsi="Simplified Arabic" w:cs="Simplified Arabic" w:hint="cs"/>
          <w:sz w:val="24"/>
          <w:szCs w:val="24"/>
          <w:rtl/>
        </w:rPr>
        <w:t xml:space="preserve"> </w:t>
      </w:r>
      <w:r w:rsidRPr="00B853AF">
        <w:rPr>
          <w:rFonts w:ascii="Simplified Arabic" w:hAnsi="Simplified Arabic" w:cs="Simplified Arabic"/>
          <w:sz w:val="24"/>
          <w:szCs w:val="24"/>
          <w:rtl/>
        </w:rPr>
        <w:t>بسام عبد الرحمان المشابقة،</w:t>
      </w:r>
      <w:r>
        <w:rPr>
          <w:rFonts w:ascii="Simplified Arabic" w:hAnsi="Simplified Arabic" w:cs="Simplified Arabic" w:hint="cs"/>
          <w:sz w:val="24"/>
          <w:szCs w:val="24"/>
          <w:rtl/>
        </w:rPr>
        <w:t xml:space="preserve"> </w:t>
      </w:r>
      <w:r w:rsidRPr="009238E8">
        <w:rPr>
          <w:rFonts w:ascii="Simplified Arabic" w:hAnsi="Simplified Arabic" w:cs="Simplified Arabic"/>
          <w:b/>
          <w:bCs/>
          <w:sz w:val="24"/>
          <w:szCs w:val="24"/>
          <w:u w:val="single"/>
          <w:rtl/>
        </w:rPr>
        <w:t>نظريات</w:t>
      </w:r>
      <w:r w:rsidRPr="009238E8">
        <w:rPr>
          <w:rFonts w:ascii="Simplified Arabic" w:hAnsi="Simplified Arabic" w:cs="Simplified Arabic" w:hint="cs"/>
          <w:b/>
          <w:bCs/>
          <w:sz w:val="24"/>
          <w:szCs w:val="24"/>
          <w:u w:val="single"/>
          <w:rtl/>
        </w:rPr>
        <w:t xml:space="preserve"> </w:t>
      </w:r>
      <w:r w:rsidRPr="009238E8">
        <w:rPr>
          <w:rFonts w:ascii="Simplified Arabic" w:hAnsi="Simplified Arabic" w:cs="Simplified Arabic"/>
          <w:b/>
          <w:bCs/>
          <w:sz w:val="24"/>
          <w:szCs w:val="24"/>
          <w:u w:val="single"/>
          <w:rtl/>
        </w:rPr>
        <w:t>الاتصال</w:t>
      </w:r>
      <w:r w:rsidRPr="00B853AF">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B853AF">
        <w:rPr>
          <w:rFonts w:ascii="Simplified Arabic" w:hAnsi="Simplified Arabic" w:cs="Simplified Arabic"/>
          <w:sz w:val="24"/>
          <w:szCs w:val="24"/>
          <w:rtl/>
        </w:rPr>
        <w:t>مرجع سبق ذكره،ص180.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299" w:rsidRDefault="005C329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00A" w:rsidRDefault="0028600A" w:rsidP="0028600A">
    <w:pPr>
      <w:pStyle w:val="En-tte"/>
    </w:pPr>
  </w:p>
  <w:p w:rsidR="0028600A" w:rsidRDefault="0028600A">
    <w:pPr>
      <w:pStyle w:val="En-tte"/>
    </w:pPr>
    <w:r w:rsidRPr="0028600A">
      <w:rPr>
        <w:noProof/>
      </w:rPr>
      <w:drawing>
        <wp:anchor distT="36576" distB="36576" distL="36576" distR="36576" simplePos="0" relativeHeight="251659264" behindDoc="0" locked="0" layoutInCell="1" allowOverlap="1">
          <wp:simplePos x="0" y="0"/>
          <wp:positionH relativeFrom="column">
            <wp:posOffset>-604520</wp:posOffset>
          </wp:positionH>
          <wp:positionV relativeFrom="paragraph">
            <wp:posOffset>-410845</wp:posOffset>
          </wp:positionV>
          <wp:extent cx="790575" cy="742950"/>
          <wp:effectExtent l="19050" t="0" r="9525" b="0"/>
          <wp:wrapNone/>
          <wp:docPr id="1" name="Image 109" descr="10681488_1460963807528332_784828234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descr="10681488_1460963807528332_784828234_n"/>
                  <pic:cNvPicPr preferRelativeResize="0">
                    <a:picLocks noChangeArrowheads="1" noChangeShapeType="1"/>
                  </pic:cNvPicPr>
                </pic:nvPicPr>
                <pic:blipFill>
                  <a:blip r:embed="rId1"/>
                  <a:srcRect/>
                  <a:stretch>
                    <a:fillRect/>
                  </a:stretch>
                </pic:blipFill>
                <pic:spPr bwMode="auto">
                  <a:xfrm>
                    <a:off x="0" y="0"/>
                    <a:ext cx="790575" cy="742950"/>
                  </a:xfrm>
                  <a:prstGeom prst="rect">
                    <a:avLst/>
                  </a:prstGeom>
                  <a:noFill/>
                  <a:ln w="9525" algn="in">
                    <a:noFill/>
                    <a:miter lim="800000"/>
                    <a:headEnd/>
                    <a:tailEnd/>
                  </a:ln>
                  <a:effectLst/>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299" w:rsidRDefault="005C329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01E1E"/>
    <w:multiLevelType w:val="hybridMultilevel"/>
    <w:tmpl w:val="8FE82428"/>
    <w:lvl w:ilvl="0" w:tplc="5638F3EE">
      <w:numFmt w:val="bullet"/>
      <w:lvlText w:val="-"/>
      <w:lvlJc w:val="left"/>
      <w:pPr>
        <w:ind w:left="643" w:hanging="360"/>
      </w:pPr>
      <w:rPr>
        <w:rFonts w:ascii="Sakkal Majalla" w:eastAsiaTheme="minorEastAsia" w:hAnsi="Sakkal Majalla" w:cs="Sakkal Majalla"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
    <w:nsid w:val="24174E38"/>
    <w:multiLevelType w:val="hybridMultilevel"/>
    <w:tmpl w:val="6E88BD0A"/>
    <w:lvl w:ilvl="0" w:tplc="586EDCA0">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64F607A"/>
    <w:multiLevelType w:val="hybridMultilevel"/>
    <w:tmpl w:val="0526D21E"/>
    <w:lvl w:ilvl="0" w:tplc="040C0001">
      <w:start w:val="1"/>
      <w:numFmt w:val="bullet"/>
      <w:lvlText w:val=""/>
      <w:lvlJc w:val="left"/>
      <w:pPr>
        <w:tabs>
          <w:tab w:val="num" w:pos="1332"/>
        </w:tabs>
        <w:ind w:left="1332" w:hanging="360"/>
      </w:pPr>
      <w:rPr>
        <w:rFonts w:ascii="Symbol" w:hAnsi="Symbol" w:hint="default"/>
      </w:rPr>
    </w:lvl>
    <w:lvl w:ilvl="1" w:tplc="040C0003" w:tentative="1">
      <w:start w:val="1"/>
      <w:numFmt w:val="bullet"/>
      <w:lvlText w:val="o"/>
      <w:lvlJc w:val="left"/>
      <w:pPr>
        <w:tabs>
          <w:tab w:val="num" w:pos="2052"/>
        </w:tabs>
        <w:ind w:left="2052" w:hanging="360"/>
      </w:pPr>
      <w:rPr>
        <w:rFonts w:ascii="Courier New" w:hAnsi="Courier New" w:cs="Courier New" w:hint="default"/>
      </w:rPr>
    </w:lvl>
    <w:lvl w:ilvl="2" w:tplc="040C0005" w:tentative="1">
      <w:start w:val="1"/>
      <w:numFmt w:val="bullet"/>
      <w:lvlText w:val=""/>
      <w:lvlJc w:val="left"/>
      <w:pPr>
        <w:tabs>
          <w:tab w:val="num" w:pos="2772"/>
        </w:tabs>
        <w:ind w:left="2772" w:hanging="360"/>
      </w:pPr>
      <w:rPr>
        <w:rFonts w:ascii="Wingdings" w:hAnsi="Wingdings" w:hint="default"/>
      </w:rPr>
    </w:lvl>
    <w:lvl w:ilvl="3" w:tplc="040C0001" w:tentative="1">
      <w:start w:val="1"/>
      <w:numFmt w:val="bullet"/>
      <w:lvlText w:val=""/>
      <w:lvlJc w:val="left"/>
      <w:pPr>
        <w:tabs>
          <w:tab w:val="num" w:pos="3492"/>
        </w:tabs>
        <w:ind w:left="3492" w:hanging="360"/>
      </w:pPr>
      <w:rPr>
        <w:rFonts w:ascii="Symbol" w:hAnsi="Symbol" w:hint="default"/>
      </w:rPr>
    </w:lvl>
    <w:lvl w:ilvl="4" w:tplc="040C0003" w:tentative="1">
      <w:start w:val="1"/>
      <w:numFmt w:val="bullet"/>
      <w:lvlText w:val="o"/>
      <w:lvlJc w:val="left"/>
      <w:pPr>
        <w:tabs>
          <w:tab w:val="num" w:pos="4212"/>
        </w:tabs>
        <w:ind w:left="4212" w:hanging="360"/>
      </w:pPr>
      <w:rPr>
        <w:rFonts w:ascii="Courier New" w:hAnsi="Courier New" w:cs="Courier New" w:hint="default"/>
      </w:rPr>
    </w:lvl>
    <w:lvl w:ilvl="5" w:tplc="040C0005" w:tentative="1">
      <w:start w:val="1"/>
      <w:numFmt w:val="bullet"/>
      <w:lvlText w:val=""/>
      <w:lvlJc w:val="left"/>
      <w:pPr>
        <w:tabs>
          <w:tab w:val="num" w:pos="4932"/>
        </w:tabs>
        <w:ind w:left="4932" w:hanging="360"/>
      </w:pPr>
      <w:rPr>
        <w:rFonts w:ascii="Wingdings" w:hAnsi="Wingdings" w:hint="default"/>
      </w:rPr>
    </w:lvl>
    <w:lvl w:ilvl="6" w:tplc="040C0001" w:tentative="1">
      <w:start w:val="1"/>
      <w:numFmt w:val="bullet"/>
      <w:lvlText w:val=""/>
      <w:lvlJc w:val="left"/>
      <w:pPr>
        <w:tabs>
          <w:tab w:val="num" w:pos="5652"/>
        </w:tabs>
        <w:ind w:left="5652" w:hanging="360"/>
      </w:pPr>
      <w:rPr>
        <w:rFonts w:ascii="Symbol" w:hAnsi="Symbol" w:hint="default"/>
      </w:rPr>
    </w:lvl>
    <w:lvl w:ilvl="7" w:tplc="040C0003" w:tentative="1">
      <w:start w:val="1"/>
      <w:numFmt w:val="bullet"/>
      <w:lvlText w:val="o"/>
      <w:lvlJc w:val="left"/>
      <w:pPr>
        <w:tabs>
          <w:tab w:val="num" w:pos="6372"/>
        </w:tabs>
        <w:ind w:left="6372" w:hanging="360"/>
      </w:pPr>
      <w:rPr>
        <w:rFonts w:ascii="Courier New" w:hAnsi="Courier New" w:cs="Courier New" w:hint="default"/>
      </w:rPr>
    </w:lvl>
    <w:lvl w:ilvl="8" w:tplc="040C0005" w:tentative="1">
      <w:start w:val="1"/>
      <w:numFmt w:val="bullet"/>
      <w:lvlText w:val=""/>
      <w:lvlJc w:val="left"/>
      <w:pPr>
        <w:tabs>
          <w:tab w:val="num" w:pos="7092"/>
        </w:tabs>
        <w:ind w:left="7092" w:hanging="360"/>
      </w:pPr>
      <w:rPr>
        <w:rFonts w:ascii="Wingdings" w:hAnsi="Wingdings" w:hint="default"/>
      </w:rPr>
    </w:lvl>
  </w:abstractNum>
  <w:abstractNum w:abstractNumId="3">
    <w:nsid w:val="74A416AF"/>
    <w:multiLevelType w:val="hybridMultilevel"/>
    <w:tmpl w:val="288AB01C"/>
    <w:lvl w:ilvl="0" w:tplc="53B0E98C">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28600A"/>
    <w:rsid w:val="000A261E"/>
    <w:rsid w:val="0028600A"/>
    <w:rsid w:val="003624D6"/>
    <w:rsid w:val="005C3299"/>
    <w:rsid w:val="006365F0"/>
    <w:rsid w:val="00955879"/>
    <w:rsid w:val="009666CD"/>
    <w:rsid w:val="00C523CD"/>
    <w:rsid w:val="00C94D2B"/>
    <w:rsid w:val="00DE6BEC"/>
    <w:rsid w:val="00F628A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3C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600A"/>
    <w:pPr>
      <w:tabs>
        <w:tab w:val="center" w:pos="4536"/>
        <w:tab w:val="right" w:pos="9072"/>
      </w:tabs>
      <w:spacing w:after="0" w:line="240" w:lineRule="auto"/>
    </w:pPr>
  </w:style>
  <w:style w:type="character" w:customStyle="1" w:styleId="En-tteCar">
    <w:name w:val="En-tête Car"/>
    <w:basedOn w:val="Policepardfaut"/>
    <w:link w:val="En-tte"/>
    <w:uiPriority w:val="99"/>
    <w:rsid w:val="0028600A"/>
  </w:style>
  <w:style w:type="paragraph" w:styleId="Pieddepage">
    <w:name w:val="footer"/>
    <w:basedOn w:val="Normal"/>
    <w:link w:val="PieddepageCar"/>
    <w:uiPriority w:val="99"/>
    <w:semiHidden/>
    <w:unhideWhenUsed/>
    <w:rsid w:val="0028600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8600A"/>
  </w:style>
  <w:style w:type="paragraph" w:styleId="Textedebulles">
    <w:name w:val="Balloon Text"/>
    <w:basedOn w:val="Normal"/>
    <w:link w:val="TextedebullesCar"/>
    <w:uiPriority w:val="99"/>
    <w:semiHidden/>
    <w:unhideWhenUsed/>
    <w:rsid w:val="002860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600A"/>
    <w:rPr>
      <w:rFonts w:ascii="Tahoma" w:hAnsi="Tahoma" w:cs="Tahoma"/>
      <w:sz w:val="16"/>
      <w:szCs w:val="16"/>
    </w:rPr>
  </w:style>
  <w:style w:type="paragraph" w:styleId="Notedebasdepage">
    <w:name w:val="footnote text"/>
    <w:aliases w:val="Appel note de bas de page"/>
    <w:basedOn w:val="Normal"/>
    <w:link w:val="NotedebasdepageCar"/>
    <w:uiPriority w:val="99"/>
    <w:unhideWhenUsed/>
    <w:rsid w:val="0028600A"/>
    <w:pPr>
      <w:bidi/>
      <w:spacing w:after="0" w:line="240" w:lineRule="auto"/>
    </w:pPr>
    <w:rPr>
      <w:rFonts w:eastAsiaTheme="minorHAnsi"/>
      <w:sz w:val="20"/>
      <w:szCs w:val="20"/>
      <w:lang w:val="en-US" w:eastAsia="en-US"/>
    </w:rPr>
  </w:style>
  <w:style w:type="character" w:customStyle="1" w:styleId="NotedebasdepageCar">
    <w:name w:val="Note de bas de page Car"/>
    <w:aliases w:val="Appel note de bas de page Car"/>
    <w:basedOn w:val="Policepardfaut"/>
    <w:link w:val="Notedebasdepage"/>
    <w:uiPriority w:val="99"/>
    <w:rsid w:val="0028600A"/>
    <w:rPr>
      <w:rFonts w:eastAsiaTheme="minorHAnsi"/>
      <w:sz w:val="20"/>
      <w:szCs w:val="20"/>
      <w:lang w:val="en-US" w:eastAsia="en-US"/>
    </w:rPr>
  </w:style>
  <w:style w:type="character" w:styleId="Appelnotedebasdep">
    <w:name w:val="footnote reference"/>
    <w:basedOn w:val="Policepardfaut"/>
    <w:uiPriority w:val="99"/>
    <w:unhideWhenUsed/>
    <w:rsid w:val="0028600A"/>
    <w:rPr>
      <w:vertAlign w:val="superscript"/>
    </w:rPr>
  </w:style>
  <w:style w:type="paragraph" w:styleId="Paragraphedeliste">
    <w:name w:val="List Paragraph"/>
    <w:basedOn w:val="Normal"/>
    <w:uiPriority w:val="34"/>
    <w:qFormat/>
    <w:rsid w:val="0028600A"/>
    <w:pPr>
      <w:bidi/>
      <w:spacing w:after="160" w:line="259" w:lineRule="auto"/>
      <w:ind w:left="720"/>
      <w:contextualSpacing/>
    </w:pPr>
    <w:rPr>
      <w:rFonts w:eastAsiaTheme="minorHAnsi"/>
      <w:lang w:val="en-US" w:eastAsia="en-US"/>
    </w:rPr>
  </w:style>
  <w:style w:type="character" w:styleId="Lienhypertexte">
    <w:name w:val="Hyperlink"/>
    <w:uiPriority w:val="99"/>
    <w:rsid w:val="0095587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ar.wikipedia.org/wiki/2016" TargetMode="External"/><Relationship Id="rId13" Type="http://schemas.openxmlformats.org/officeDocument/2006/relationships/hyperlink" Target="../../AppData/pc/AppData/Roaming/Microsoft/Word/&#1608;&#1580;&#1583;&#1610;%20&#1581;&#1604;&#1605;&#1610;%20&#1593;&#1610;&#1583;%20&#1593;&#1576;&#1583;%20&#1575;&#1604;&#1592;&#1575;&#1607;&#1585;" TargetMode="External"/><Relationship Id="rId3" Type="http://schemas.openxmlformats.org/officeDocument/2006/relationships/hyperlink" Target="http://www.marefa.org/index.php/1974" TargetMode="External"/><Relationship Id="rId7" Type="http://schemas.openxmlformats.org/officeDocument/2006/relationships/hyperlink" Target="https://ar.wikipedia.org/wiki/1927" TargetMode="External"/><Relationship Id="rId12" Type="http://schemas.openxmlformats.org/officeDocument/2006/relationships/hyperlink" Target="https://translate.google.dz/translate?hl=fr&amp;sl=ar&amp;u=http://www.alukah.net/books/files/book_6269/bookfile/ealam.pdf&amp;prev=search" TargetMode="External"/><Relationship Id="rId17" Type="http://schemas.openxmlformats.org/officeDocument/2006/relationships/hyperlink" Target="https://uqu.edu.sa/page/ar/180863" TargetMode="External"/><Relationship Id="rId2" Type="http://schemas.openxmlformats.org/officeDocument/2006/relationships/hyperlink" Target="http://www.marefa.org/index.php/14_%D8%AF%D9%8A%D8%B3%D9%85%D8%A8%D8%B1" TargetMode="External"/><Relationship Id="rId16" Type="http://schemas.openxmlformats.org/officeDocument/2006/relationships/hyperlink" Target="../../AppData/pc/Downloads/&#1608;&#1580;&#1583;&#1610;%20&#1581;&#1604;&#1605;&#1610;%20&#1593;&#1610;&#1583;%20&#1593;&#1576;&#1583;%20&#1575;&#1604;&#1592;&#1575;&#1607;&#1585;" TargetMode="External"/><Relationship Id="rId1" Type="http://schemas.openxmlformats.org/officeDocument/2006/relationships/hyperlink" Target="http://www.marefa.org/index.php/1889" TargetMode="External"/><Relationship Id="rId6" Type="http://schemas.openxmlformats.org/officeDocument/2006/relationships/hyperlink" Target="http://www.marefa.org/index.php?title=%D8%A7%D9%84%D8%B1%D8%A3%D9%8A_%D8%A7%D9%84%D8%B9%D8%A7%D9%85_(%D9%83%D8%AA%D8%A7%D8%A8)&amp;action=edit&amp;redlink=1" TargetMode="External"/><Relationship Id="rId11" Type="http://schemas.openxmlformats.org/officeDocument/2006/relationships/hyperlink" Target="https://ar.wikipedia.org/wiki/%D8%B1%D9%88%D8%AA%D8%B1%D8%AF%D8%A7%D9%85" TargetMode="External"/><Relationship Id="rId5" Type="http://schemas.openxmlformats.org/officeDocument/2006/relationships/hyperlink" Target="http://www.marefa.org/index.php/%D9%82%D8%A7%D9%84%D8%A8" TargetMode="External"/><Relationship Id="rId15" Type="http://schemas.openxmlformats.org/officeDocument/2006/relationships/hyperlink" Target="http://www.ahewar.org/debat/show.art.asp?aid=256306" TargetMode="External"/><Relationship Id="rId10" Type="http://schemas.openxmlformats.org/officeDocument/2006/relationships/hyperlink" Target="https://ar.wikipedia.org/wiki/%D8%B5%D8%AD%D9%81%D9%8A" TargetMode="External"/><Relationship Id="rId4" Type="http://schemas.openxmlformats.org/officeDocument/2006/relationships/hyperlink" Target="http://www.marefa.org/index.php/%D8%A7%D9%84%D8%AD%D8%B1%D8%A8_%D8%A7%D9%84%D8%A8%D8%A7%D8%B1%D8%AF%D8%A9" TargetMode="External"/><Relationship Id="rId9" Type="http://schemas.openxmlformats.org/officeDocument/2006/relationships/hyperlink" Target="https://ar.wikipedia.org/wiki/%D9%83%D8%A7%D8%AA%D8%A8" TargetMode="External"/><Relationship Id="rId14" Type="http://schemas.openxmlformats.org/officeDocument/2006/relationships/hyperlink" Target="https://uqu.edu.sa/page/ar/18086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A9982-B939-4E8C-AC32-710E8BF1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3069</Words>
  <Characters>16881</Characters>
  <Application>Microsoft Office Word</Application>
  <DocSecurity>0</DocSecurity>
  <Lines>140</Lines>
  <Paragraphs>39</Paragraphs>
  <ScaleCrop>false</ScaleCrop>
  <Company/>
  <LinksUpToDate>false</LinksUpToDate>
  <CharactersWithSpaces>19911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dc:creator>
  <cp:lastModifiedBy>dj</cp:lastModifiedBy>
  <cp:revision>4</cp:revision>
  <dcterms:created xsi:type="dcterms:W3CDTF">2022-02-21T12:30:00Z</dcterms:created>
  <dcterms:modified xsi:type="dcterms:W3CDTF">2024-05-14T20:34:00Z</dcterms:modified>
</cp:coreProperties>
</file>