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C4" w:rsidRPr="009624C4" w:rsidRDefault="009624C4" w:rsidP="009624C4">
      <w:pPr>
        <w:spacing w:after="0"/>
        <w:rPr>
          <w:rFonts w:ascii="Garamond" w:hAnsi="Garamond"/>
        </w:rPr>
      </w:pPr>
    </w:p>
    <w:p w:rsidR="00E6737D" w:rsidRPr="009624C4" w:rsidRDefault="00F5372D" w:rsidP="009624C4">
      <w:pPr>
        <w:pStyle w:val="Paragraphedeliste"/>
        <w:numPr>
          <w:ilvl w:val="0"/>
          <w:numId w:val="1"/>
        </w:numPr>
        <w:spacing w:after="0"/>
        <w:rPr>
          <w:rFonts w:ascii="Garamond" w:hAnsi="Garamond"/>
        </w:rPr>
      </w:pPr>
      <w:r w:rsidRPr="009624C4">
        <w:rPr>
          <w:rFonts w:ascii="Garamond" w:hAnsi="Garamond"/>
        </w:rPr>
        <w:t>L’expression</w:t>
      </w:r>
      <w:r w:rsidR="00681AD2" w:rsidRPr="009624C4">
        <w:rPr>
          <w:rFonts w:ascii="Garamond" w:hAnsi="Garamond"/>
        </w:rPr>
        <w:t xml:space="preserve"> du temps</w:t>
      </w:r>
    </w:p>
    <w:p w:rsidR="00681AD2" w:rsidRPr="009624C4" w:rsidRDefault="00F5372D" w:rsidP="009624C4">
      <w:pPr>
        <w:spacing w:after="0"/>
        <w:ind w:firstLine="360"/>
        <w:rPr>
          <w:rFonts w:ascii="Garamond" w:hAnsi="Garamond"/>
        </w:rPr>
      </w:pPr>
      <w:r w:rsidRPr="009624C4">
        <w:rPr>
          <w:rFonts w:ascii="Garamond" w:hAnsi="Garamond"/>
        </w:rPr>
        <w:t>Exercez-vous</w:t>
      </w:r>
      <w:r w:rsidR="00681AD2" w:rsidRPr="009624C4">
        <w:rPr>
          <w:rFonts w:ascii="Garamond" w:hAnsi="Garamond"/>
        </w:rPr>
        <w:t xml:space="preserve"> jusqu’à ce que vous maîtrisiez bien vos gestes. </w:t>
      </w:r>
    </w:p>
    <w:p w:rsidR="00681AD2" w:rsidRPr="00DB3343" w:rsidRDefault="00681AD2" w:rsidP="00DB3343">
      <w:pPr>
        <w:pStyle w:val="Paragraphedeliste"/>
        <w:numPr>
          <w:ilvl w:val="0"/>
          <w:numId w:val="1"/>
        </w:numPr>
        <w:spacing w:after="0"/>
        <w:rPr>
          <w:rFonts w:ascii="Garamond" w:hAnsi="Garamond"/>
        </w:rPr>
      </w:pPr>
      <w:r w:rsidRPr="00DB3343">
        <w:rPr>
          <w:rFonts w:ascii="Garamond" w:hAnsi="Garamond"/>
        </w:rPr>
        <w:t>Quand situer dans le temps ?</w:t>
      </w:r>
    </w:p>
    <w:p w:rsidR="00681AD2" w:rsidRPr="009624C4" w:rsidRDefault="00681AD2" w:rsidP="00DB3343">
      <w:pPr>
        <w:spacing w:after="0"/>
        <w:ind w:firstLine="360"/>
        <w:rPr>
          <w:rFonts w:ascii="Garamond" w:hAnsi="Garamond"/>
        </w:rPr>
      </w:pPr>
      <w:r w:rsidRPr="009624C4">
        <w:rPr>
          <w:rFonts w:ascii="Garamond" w:hAnsi="Garamond"/>
        </w:rPr>
        <w:t xml:space="preserve">Pour dater une action exprimée dans la phrase, pour situer les actions les unes par rapport aux autres. </w:t>
      </w:r>
    </w:p>
    <w:p w:rsidR="00681AD2" w:rsidRPr="009624C4" w:rsidRDefault="00681AD2" w:rsidP="00DB3343">
      <w:pPr>
        <w:spacing w:after="0"/>
        <w:ind w:firstLine="360"/>
        <w:rPr>
          <w:rFonts w:ascii="Garamond" w:hAnsi="Garamond"/>
        </w:rPr>
      </w:pPr>
      <w:r w:rsidRPr="00DB3343">
        <w:rPr>
          <w:rFonts w:ascii="Garamond" w:hAnsi="Garamond"/>
          <w:b/>
          <w:bCs/>
        </w:rPr>
        <w:t>Ex.</w:t>
      </w:r>
      <w:r w:rsidR="00DB3343" w:rsidRPr="00DB3343">
        <w:rPr>
          <w:rFonts w:ascii="Garamond" w:hAnsi="Garamond"/>
          <w:b/>
          <w:bCs/>
        </w:rPr>
        <w:t> :</w:t>
      </w:r>
      <w:r w:rsidRPr="009624C4">
        <w:rPr>
          <w:rFonts w:ascii="Garamond" w:hAnsi="Garamond"/>
        </w:rPr>
        <w:t xml:space="preserve"> Il a payé son loyer bien.</w:t>
      </w:r>
    </w:p>
    <w:p w:rsidR="00681AD2" w:rsidRPr="00DB3343" w:rsidRDefault="00681AD2" w:rsidP="00DB3343">
      <w:pPr>
        <w:pStyle w:val="Paragraphedeliste"/>
        <w:numPr>
          <w:ilvl w:val="0"/>
          <w:numId w:val="1"/>
        </w:numPr>
        <w:spacing w:after="0"/>
        <w:rPr>
          <w:rFonts w:ascii="Garamond" w:hAnsi="Garamond"/>
        </w:rPr>
      </w:pPr>
      <w:r w:rsidRPr="00DB3343">
        <w:rPr>
          <w:rFonts w:ascii="Garamond" w:hAnsi="Garamond"/>
        </w:rPr>
        <w:t>Comment exprimer le temps ?</w:t>
      </w:r>
    </w:p>
    <w:p w:rsidR="00681AD2" w:rsidRPr="009624C4" w:rsidRDefault="00681AD2" w:rsidP="00DB3343">
      <w:pPr>
        <w:spacing w:after="0"/>
        <w:ind w:firstLine="360"/>
        <w:rPr>
          <w:rFonts w:ascii="Garamond" w:hAnsi="Garamond"/>
        </w:rPr>
      </w:pPr>
      <w:r w:rsidRPr="009624C4">
        <w:rPr>
          <w:rFonts w:ascii="Garamond" w:hAnsi="Garamond"/>
        </w:rPr>
        <w:t>Avec les temps de conjugaison.</w:t>
      </w:r>
    </w:p>
    <w:p w:rsidR="00681AD2" w:rsidRPr="009624C4" w:rsidRDefault="00681AD2" w:rsidP="00DB3343">
      <w:pPr>
        <w:spacing w:after="0"/>
        <w:ind w:firstLine="360"/>
        <w:rPr>
          <w:rFonts w:ascii="Garamond" w:hAnsi="Garamond"/>
        </w:rPr>
      </w:pPr>
      <w:r w:rsidRPr="00DB3343">
        <w:rPr>
          <w:rFonts w:ascii="Garamond" w:hAnsi="Garamond"/>
          <w:b/>
          <w:bCs/>
        </w:rPr>
        <w:t>Ex. :</w:t>
      </w:r>
      <w:r w:rsidRPr="009624C4">
        <w:rPr>
          <w:rFonts w:ascii="Garamond" w:hAnsi="Garamond"/>
        </w:rPr>
        <w:t xml:space="preserve"> L’orage est terminé, les randonneurs repartent. </w:t>
      </w:r>
    </w:p>
    <w:p w:rsidR="00681AD2" w:rsidRPr="009624C4" w:rsidRDefault="00681AD2" w:rsidP="00DB3343">
      <w:pPr>
        <w:spacing w:after="0"/>
        <w:ind w:firstLine="360"/>
        <w:rPr>
          <w:rFonts w:ascii="Garamond" w:hAnsi="Garamond"/>
        </w:rPr>
      </w:pPr>
      <w:r w:rsidRPr="009624C4">
        <w:rPr>
          <w:rFonts w:ascii="Garamond" w:hAnsi="Garamond"/>
        </w:rPr>
        <w:t>Avec un adverbe de temps ou une locution adverbiale exprimant :</w:t>
      </w:r>
    </w:p>
    <w:tbl>
      <w:tblPr>
        <w:tblStyle w:val="Grilledutableau"/>
        <w:tblW w:w="0" w:type="auto"/>
        <w:jc w:val="center"/>
        <w:tblLook w:val="04A0"/>
      </w:tblPr>
      <w:tblGrid>
        <w:gridCol w:w="1384"/>
        <w:gridCol w:w="7828"/>
      </w:tblGrid>
      <w:tr w:rsidR="00681AD2" w:rsidRPr="009624C4" w:rsidTr="00DB3343">
        <w:trPr>
          <w:jc w:val="center"/>
        </w:trPr>
        <w:tc>
          <w:tcPr>
            <w:tcW w:w="1384" w:type="dxa"/>
          </w:tcPr>
          <w:p w:rsidR="00681AD2" w:rsidRPr="009624C4" w:rsidRDefault="00681AD2" w:rsidP="009624C4">
            <w:pPr>
              <w:rPr>
                <w:rFonts w:ascii="Garamond" w:hAnsi="Garamond"/>
              </w:rPr>
            </w:pPr>
            <w:r w:rsidRPr="009624C4">
              <w:rPr>
                <w:rFonts w:ascii="Garamond" w:hAnsi="Garamond"/>
              </w:rPr>
              <w:t xml:space="preserve">La passé </w:t>
            </w:r>
          </w:p>
        </w:tc>
        <w:tc>
          <w:tcPr>
            <w:tcW w:w="7828" w:type="dxa"/>
          </w:tcPr>
          <w:p w:rsidR="00681AD2" w:rsidRPr="009624C4" w:rsidRDefault="00681AD2" w:rsidP="009624C4">
            <w:pPr>
              <w:rPr>
                <w:rFonts w:ascii="Garamond" w:hAnsi="Garamond"/>
              </w:rPr>
            </w:pPr>
            <w:r w:rsidRPr="009624C4">
              <w:rPr>
                <w:rFonts w:ascii="Garamond" w:hAnsi="Garamond"/>
              </w:rPr>
              <w:t xml:space="preserve">Autrefois, jadis, naguère, avant-hier, hier, etc. </w:t>
            </w:r>
          </w:p>
        </w:tc>
      </w:tr>
      <w:tr w:rsidR="00681AD2" w:rsidRPr="009624C4" w:rsidTr="00DB3343">
        <w:trPr>
          <w:jc w:val="center"/>
        </w:trPr>
        <w:tc>
          <w:tcPr>
            <w:tcW w:w="1384" w:type="dxa"/>
          </w:tcPr>
          <w:p w:rsidR="00681AD2" w:rsidRPr="009624C4" w:rsidRDefault="00681AD2" w:rsidP="009624C4">
            <w:pPr>
              <w:rPr>
                <w:rFonts w:ascii="Garamond" w:hAnsi="Garamond"/>
              </w:rPr>
            </w:pPr>
            <w:r w:rsidRPr="009624C4">
              <w:rPr>
                <w:rFonts w:ascii="Garamond" w:hAnsi="Garamond"/>
              </w:rPr>
              <w:t xml:space="preserve">Le présent </w:t>
            </w:r>
          </w:p>
        </w:tc>
        <w:tc>
          <w:tcPr>
            <w:tcW w:w="7828" w:type="dxa"/>
          </w:tcPr>
          <w:p w:rsidR="00681AD2" w:rsidRPr="009624C4" w:rsidRDefault="00681AD2" w:rsidP="009624C4">
            <w:pPr>
              <w:rPr>
                <w:rFonts w:ascii="Garamond" w:hAnsi="Garamond"/>
              </w:rPr>
            </w:pPr>
            <w:r w:rsidRPr="009624C4">
              <w:rPr>
                <w:rFonts w:ascii="Garamond" w:hAnsi="Garamond"/>
              </w:rPr>
              <w:t xml:space="preserve">D’abord, actuellement, aujourd’hui, sur-le-champ, illico, immédiatement, maintenant, à présent, tout de suite, aussitôt, etc. </w:t>
            </w:r>
          </w:p>
        </w:tc>
      </w:tr>
      <w:tr w:rsidR="00681AD2" w:rsidRPr="009624C4" w:rsidTr="00DB3343">
        <w:trPr>
          <w:jc w:val="center"/>
        </w:trPr>
        <w:tc>
          <w:tcPr>
            <w:tcW w:w="1384" w:type="dxa"/>
          </w:tcPr>
          <w:p w:rsidR="00681AD2" w:rsidRPr="009624C4" w:rsidRDefault="00681AD2" w:rsidP="009624C4">
            <w:pPr>
              <w:rPr>
                <w:rFonts w:ascii="Garamond" w:hAnsi="Garamond"/>
              </w:rPr>
            </w:pPr>
            <w:r w:rsidRPr="009624C4">
              <w:rPr>
                <w:rFonts w:ascii="Garamond" w:hAnsi="Garamond"/>
              </w:rPr>
              <w:t xml:space="preserve">Le futur </w:t>
            </w:r>
          </w:p>
        </w:tc>
        <w:tc>
          <w:tcPr>
            <w:tcW w:w="7828" w:type="dxa"/>
          </w:tcPr>
          <w:p w:rsidR="00681AD2" w:rsidRPr="009624C4" w:rsidRDefault="00681AD2" w:rsidP="009624C4">
            <w:pPr>
              <w:rPr>
                <w:rFonts w:ascii="Garamond" w:hAnsi="Garamond"/>
              </w:rPr>
            </w:pPr>
            <w:r w:rsidRPr="009624C4">
              <w:rPr>
                <w:rFonts w:ascii="Garamond" w:hAnsi="Garamond"/>
              </w:rPr>
              <w:t xml:space="preserve">Demain, ensuite, après-demain, postérieurement, etc. </w:t>
            </w:r>
          </w:p>
        </w:tc>
      </w:tr>
      <w:tr w:rsidR="00681AD2" w:rsidRPr="009624C4" w:rsidTr="00DB3343">
        <w:trPr>
          <w:jc w:val="center"/>
        </w:trPr>
        <w:tc>
          <w:tcPr>
            <w:tcW w:w="1384" w:type="dxa"/>
          </w:tcPr>
          <w:p w:rsidR="00681AD2" w:rsidRPr="009624C4" w:rsidRDefault="00681AD2" w:rsidP="009624C4">
            <w:pPr>
              <w:rPr>
                <w:rFonts w:ascii="Garamond" w:hAnsi="Garamond"/>
              </w:rPr>
            </w:pPr>
            <w:r w:rsidRPr="009624C4">
              <w:rPr>
                <w:rFonts w:ascii="Garamond" w:hAnsi="Garamond"/>
              </w:rPr>
              <w:t xml:space="preserve">La fréquence </w:t>
            </w:r>
          </w:p>
        </w:tc>
        <w:tc>
          <w:tcPr>
            <w:tcW w:w="7828" w:type="dxa"/>
          </w:tcPr>
          <w:p w:rsidR="00681AD2" w:rsidRPr="009624C4" w:rsidRDefault="00681AD2" w:rsidP="009624C4">
            <w:pPr>
              <w:rPr>
                <w:rFonts w:ascii="Garamond" w:hAnsi="Garamond"/>
              </w:rPr>
            </w:pPr>
            <w:r w:rsidRPr="009624C4">
              <w:rPr>
                <w:rFonts w:ascii="Garamond" w:hAnsi="Garamond"/>
              </w:rPr>
              <w:t xml:space="preserve">Jamais, de nouveau, parfois, quelquefois, toujours, souvent, etc. </w:t>
            </w:r>
          </w:p>
        </w:tc>
      </w:tr>
    </w:tbl>
    <w:p w:rsidR="00681AD2" w:rsidRPr="009624C4" w:rsidRDefault="00681AD2" w:rsidP="00DB3343">
      <w:pPr>
        <w:spacing w:after="0"/>
        <w:ind w:firstLine="708"/>
        <w:rPr>
          <w:rFonts w:ascii="Garamond" w:hAnsi="Garamond"/>
        </w:rPr>
      </w:pPr>
      <w:r w:rsidRPr="009624C4">
        <w:rPr>
          <w:rFonts w:ascii="Garamond" w:hAnsi="Garamond"/>
        </w:rPr>
        <w:t xml:space="preserve">Autres moyens d’exprimer le temps. </w:t>
      </w:r>
    </w:p>
    <w:tbl>
      <w:tblPr>
        <w:tblStyle w:val="Grilledutableau"/>
        <w:tblW w:w="0" w:type="auto"/>
        <w:jc w:val="center"/>
        <w:tblLook w:val="04A0"/>
      </w:tblPr>
      <w:tblGrid>
        <w:gridCol w:w="3652"/>
        <w:gridCol w:w="2489"/>
        <w:gridCol w:w="3071"/>
      </w:tblGrid>
      <w:tr w:rsidR="00681AD2" w:rsidRPr="009624C4" w:rsidTr="00DB3343">
        <w:trPr>
          <w:jc w:val="center"/>
        </w:trPr>
        <w:tc>
          <w:tcPr>
            <w:tcW w:w="3652" w:type="dxa"/>
          </w:tcPr>
          <w:p w:rsidR="00681AD2" w:rsidRPr="009624C4" w:rsidRDefault="00681AD2" w:rsidP="009624C4">
            <w:pPr>
              <w:rPr>
                <w:rFonts w:ascii="Garamond" w:hAnsi="Garamond"/>
              </w:rPr>
            </w:pPr>
          </w:p>
        </w:tc>
        <w:tc>
          <w:tcPr>
            <w:tcW w:w="2489" w:type="dxa"/>
          </w:tcPr>
          <w:p w:rsidR="00681AD2" w:rsidRPr="009624C4" w:rsidRDefault="00681AD2" w:rsidP="009624C4">
            <w:pPr>
              <w:rPr>
                <w:rFonts w:ascii="Garamond" w:hAnsi="Garamond"/>
              </w:rPr>
            </w:pPr>
          </w:p>
        </w:tc>
        <w:tc>
          <w:tcPr>
            <w:tcW w:w="3071" w:type="dxa"/>
          </w:tcPr>
          <w:p w:rsidR="00681AD2" w:rsidRPr="009624C4" w:rsidRDefault="00681AD2" w:rsidP="009624C4">
            <w:pPr>
              <w:rPr>
                <w:rFonts w:ascii="Garamond" w:hAnsi="Garamond"/>
              </w:rPr>
            </w:pPr>
          </w:p>
        </w:tc>
      </w:tr>
      <w:tr w:rsidR="00681AD2" w:rsidRPr="009624C4" w:rsidTr="00DB3343">
        <w:trPr>
          <w:jc w:val="center"/>
        </w:trPr>
        <w:tc>
          <w:tcPr>
            <w:tcW w:w="3652" w:type="dxa"/>
          </w:tcPr>
          <w:p w:rsidR="00681AD2" w:rsidRPr="009624C4" w:rsidRDefault="00681AD2" w:rsidP="009624C4">
            <w:pPr>
              <w:rPr>
                <w:rFonts w:ascii="Garamond" w:hAnsi="Garamond"/>
              </w:rPr>
            </w:pPr>
            <w:r w:rsidRPr="009624C4">
              <w:rPr>
                <w:rFonts w:ascii="Garamond" w:hAnsi="Garamond"/>
              </w:rPr>
              <w:t xml:space="preserve">Une conjonction de subordination </w:t>
            </w:r>
          </w:p>
        </w:tc>
        <w:tc>
          <w:tcPr>
            <w:tcW w:w="2489" w:type="dxa"/>
          </w:tcPr>
          <w:p w:rsidR="00681AD2" w:rsidRPr="009624C4" w:rsidRDefault="00681AD2" w:rsidP="009624C4">
            <w:pPr>
              <w:rPr>
                <w:rFonts w:ascii="Garamond" w:hAnsi="Garamond"/>
              </w:rPr>
            </w:pPr>
            <w:r w:rsidRPr="009624C4">
              <w:rPr>
                <w:rFonts w:ascii="Garamond" w:hAnsi="Garamond" w:cs="Helvetica"/>
                <w:color w:val="333333"/>
                <w:sz w:val="21"/>
                <w:szCs w:val="21"/>
                <w:shd w:val="clear" w:color="auto" w:fill="FFFFFF"/>
              </w:rPr>
              <w:t>dès que, après que, quand, lorsque, avant que, jusqu’à ce que, en attendant que, pendant que, en même temps que, etc.</w:t>
            </w:r>
          </w:p>
        </w:tc>
        <w:tc>
          <w:tcPr>
            <w:tcW w:w="3071" w:type="dxa"/>
          </w:tcPr>
          <w:p w:rsidR="00681AD2" w:rsidRPr="009624C4" w:rsidRDefault="00681AD2" w:rsidP="009624C4">
            <w:pPr>
              <w:rPr>
                <w:rFonts w:ascii="Garamond" w:hAnsi="Garamond" w:cs="Helvetica"/>
                <w:color w:val="333333"/>
                <w:sz w:val="21"/>
                <w:szCs w:val="21"/>
                <w:shd w:val="clear" w:color="auto" w:fill="FFFFFF"/>
              </w:rPr>
            </w:pPr>
            <w:r w:rsidRPr="009624C4">
              <w:rPr>
                <w:rFonts w:ascii="Garamond" w:hAnsi="Garamond" w:cs="Helvetica"/>
                <w:color w:val="333333"/>
                <w:sz w:val="21"/>
                <w:szCs w:val="21"/>
                <w:shd w:val="clear" w:color="auto" w:fill="FFFFFF"/>
              </w:rPr>
              <w:t>Il s’est mis à pleurer lorsque vous êtes parti.</w:t>
            </w:r>
            <w:r w:rsidRPr="009624C4">
              <w:rPr>
                <w:rFonts w:ascii="Garamond" w:hAnsi="Garamond" w:cs="Helvetica"/>
                <w:color w:val="333333"/>
                <w:sz w:val="21"/>
                <w:szCs w:val="21"/>
              </w:rPr>
              <w:br/>
            </w:r>
            <w:r w:rsidRPr="009624C4">
              <w:rPr>
                <w:rFonts w:ascii="Garamond" w:hAnsi="Garamond" w:cs="Helvetica"/>
                <w:color w:val="333333"/>
                <w:sz w:val="21"/>
                <w:szCs w:val="21"/>
                <w:shd w:val="clear" w:color="auto" w:fill="FFFFFF"/>
              </w:rPr>
              <w:t>En attendant que le film commence, allez chercher de quoi boire.</w:t>
            </w:r>
          </w:p>
          <w:p w:rsidR="00681AD2" w:rsidRPr="009624C4" w:rsidRDefault="00681AD2" w:rsidP="009624C4">
            <w:pPr>
              <w:rPr>
                <w:rFonts w:ascii="Garamond" w:hAnsi="Garamond"/>
              </w:rPr>
            </w:pPr>
            <w:r w:rsidRPr="009624C4">
              <w:rPr>
                <w:rFonts w:ascii="Garamond" w:hAnsi="Garamond" w:cs="Helvetica"/>
                <w:color w:val="333333"/>
                <w:sz w:val="21"/>
                <w:szCs w:val="21"/>
                <w:shd w:val="clear" w:color="auto" w:fill="FFFFFF"/>
              </w:rPr>
              <w:t>N.B. : C’est la proposition subordonnée qui exprime le temps.</w:t>
            </w:r>
          </w:p>
        </w:tc>
      </w:tr>
      <w:tr w:rsidR="00681AD2" w:rsidRPr="009624C4" w:rsidTr="00DB3343">
        <w:trPr>
          <w:jc w:val="center"/>
        </w:trPr>
        <w:tc>
          <w:tcPr>
            <w:tcW w:w="3652" w:type="dxa"/>
          </w:tcPr>
          <w:p w:rsidR="00681AD2" w:rsidRPr="009624C4" w:rsidRDefault="00681AD2" w:rsidP="009624C4">
            <w:pPr>
              <w:rPr>
                <w:rFonts w:ascii="Garamond" w:hAnsi="Garamond"/>
              </w:rPr>
            </w:pPr>
            <w:r w:rsidRPr="009624C4">
              <w:rPr>
                <w:rFonts w:ascii="Garamond" w:hAnsi="Garamond"/>
              </w:rPr>
              <w:t xml:space="preserve">Un participe passé </w:t>
            </w:r>
          </w:p>
        </w:tc>
        <w:tc>
          <w:tcPr>
            <w:tcW w:w="2489" w:type="dxa"/>
          </w:tcPr>
          <w:p w:rsidR="00681AD2" w:rsidRPr="009624C4" w:rsidRDefault="00681AD2" w:rsidP="009624C4">
            <w:pPr>
              <w:rPr>
                <w:rFonts w:ascii="Garamond" w:hAnsi="Garamond"/>
              </w:rPr>
            </w:pPr>
          </w:p>
        </w:tc>
        <w:tc>
          <w:tcPr>
            <w:tcW w:w="3071" w:type="dxa"/>
          </w:tcPr>
          <w:p w:rsidR="00681AD2" w:rsidRPr="009624C4" w:rsidRDefault="00681AD2" w:rsidP="009624C4">
            <w:pPr>
              <w:rPr>
                <w:rFonts w:ascii="Garamond" w:hAnsi="Garamond"/>
              </w:rPr>
            </w:pPr>
            <w:r w:rsidRPr="009624C4">
              <w:rPr>
                <w:rFonts w:ascii="Garamond" w:hAnsi="Garamond"/>
              </w:rPr>
              <w:t xml:space="preserve">Le dernier train passé, la gare ferme. </w:t>
            </w:r>
          </w:p>
        </w:tc>
      </w:tr>
      <w:tr w:rsidR="00681AD2" w:rsidRPr="009624C4" w:rsidTr="00DB3343">
        <w:trPr>
          <w:jc w:val="center"/>
        </w:trPr>
        <w:tc>
          <w:tcPr>
            <w:tcW w:w="3652" w:type="dxa"/>
          </w:tcPr>
          <w:p w:rsidR="00681AD2" w:rsidRPr="009624C4" w:rsidRDefault="00681AD2" w:rsidP="009624C4">
            <w:pPr>
              <w:rPr>
                <w:rFonts w:ascii="Garamond" w:hAnsi="Garamond"/>
              </w:rPr>
            </w:pPr>
            <w:r w:rsidRPr="009624C4">
              <w:rPr>
                <w:rFonts w:ascii="Garamond" w:hAnsi="Garamond"/>
              </w:rPr>
              <w:t xml:space="preserve">Un gérondif précédé de tout </w:t>
            </w:r>
          </w:p>
        </w:tc>
        <w:tc>
          <w:tcPr>
            <w:tcW w:w="2489" w:type="dxa"/>
          </w:tcPr>
          <w:p w:rsidR="00681AD2" w:rsidRPr="009624C4" w:rsidRDefault="00CF4C33" w:rsidP="009624C4">
            <w:pPr>
              <w:rPr>
                <w:rFonts w:ascii="Garamond" w:hAnsi="Garamond"/>
              </w:rPr>
            </w:pPr>
            <w:r w:rsidRPr="009624C4">
              <w:rPr>
                <w:rFonts w:ascii="Garamond" w:hAnsi="Garamond"/>
              </w:rPr>
              <w:t>-ant</w:t>
            </w:r>
          </w:p>
        </w:tc>
        <w:tc>
          <w:tcPr>
            <w:tcW w:w="3071" w:type="dxa"/>
          </w:tcPr>
          <w:p w:rsidR="00681AD2" w:rsidRPr="009624C4" w:rsidRDefault="00CF4C33" w:rsidP="009624C4">
            <w:pPr>
              <w:rPr>
                <w:rFonts w:ascii="Garamond" w:hAnsi="Garamond"/>
              </w:rPr>
            </w:pPr>
            <w:r w:rsidRPr="009624C4">
              <w:rPr>
                <w:rFonts w:ascii="Garamond" w:hAnsi="Garamond"/>
              </w:rPr>
              <w:t>Tout en mangeant, il lit le journal.</w:t>
            </w:r>
          </w:p>
        </w:tc>
      </w:tr>
      <w:tr w:rsidR="00681AD2" w:rsidRPr="009624C4" w:rsidTr="00DB3343">
        <w:trPr>
          <w:jc w:val="center"/>
        </w:trPr>
        <w:tc>
          <w:tcPr>
            <w:tcW w:w="3652" w:type="dxa"/>
          </w:tcPr>
          <w:p w:rsidR="00681AD2" w:rsidRPr="009624C4" w:rsidRDefault="00681AD2" w:rsidP="009624C4">
            <w:pPr>
              <w:rPr>
                <w:rFonts w:ascii="Garamond" w:hAnsi="Garamond"/>
              </w:rPr>
            </w:pPr>
            <w:r w:rsidRPr="009624C4">
              <w:rPr>
                <w:rFonts w:ascii="Garamond" w:hAnsi="Garamond"/>
              </w:rPr>
              <w:t>Un groupe prépositionnel</w:t>
            </w:r>
          </w:p>
        </w:tc>
        <w:tc>
          <w:tcPr>
            <w:tcW w:w="2489" w:type="dxa"/>
          </w:tcPr>
          <w:p w:rsidR="00681AD2" w:rsidRPr="009624C4" w:rsidRDefault="00CF4C33" w:rsidP="009624C4">
            <w:pPr>
              <w:rPr>
                <w:rFonts w:ascii="Garamond" w:hAnsi="Garamond"/>
              </w:rPr>
            </w:pPr>
            <w:r w:rsidRPr="009624C4">
              <w:rPr>
                <w:rFonts w:ascii="Garamond" w:hAnsi="Garamond"/>
              </w:rPr>
              <w:t xml:space="preserve">Par…, à…, en…, etc. </w:t>
            </w:r>
          </w:p>
        </w:tc>
        <w:tc>
          <w:tcPr>
            <w:tcW w:w="3071" w:type="dxa"/>
          </w:tcPr>
          <w:p w:rsidR="00681AD2" w:rsidRPr="009624C4" w:rsidRDefault="00CF4C33" w:rsidP="009624C4">
            <w:pPr>
              <w:rPr>
                <w:rFonts w:ascii="Garamond" w:hAnsi="Garamond"/>
              </w:rPr>
            </w:pPr>
            <w:r w:rsidRPr="009624C4">
              <w:rPr>
                <w:rFonts w:ascii="Garamond" w:hAnsi="Garamond"/>
              </w:rPr>
              <w:t xml:space="preserve">Par temps de neige, mettez vos chaînes. </w:t>
            </w:r>
          </w:p>
        </w:tc>
      </w:tr>
      <w:tr w:rsidR="00681AD2" w:rsidRPr="009624C4" w:rsidTr="00DB3343">
        <w:trPr>
          <w:jc w:val="center"/>
        </w:trPr>
        <w:tc>
          <w:tcPr>
            <w:tcW w:w="3652" w:type="dxa"/>
          </w:tcPr>
          <w:p w:rsidR="00681AD2" w:rsidRPr="009624C4" w:rsidRDefault="00681AD2" w:rsidP="009624C4">
            <w:pPr>
              <w:rPr>
                <w:rFonts w:ascii="Garamond" w:hAnsi="Garamond"/>
              </w:rPr>
            </w:pPr>
            <w:r w:rsidRPr="009624C4">
              <w:rPr>
                <w:rFonts w:ascii="Garamond" w:hAnsi="Garamond"/>
              </w:rPr>
              <w:t>Une juxtaposition</w:t>
            </w:r>
          </w:p>
        </w:tc>
        <w:tc>
          <w:tcPr>
            <w:tcW w:w="2489" w:type="dxa"/>
          </w:tcPr>
          <w:p w:rsidR="00681AD2" w:rsidRPr="009624C4" w:rsidRDefault="00CF4C33" w:rsidP="009624C4">
            <w:pPr>
              <w:rPr>
                <w:rFonts w:ascii="Garamond" w:hAnsi="Garamond"/>
              </w:rPr>
            </w:pPr>
            <w:r w:rsidRPr="009624C4">
              <w:rPr>
                <w:rFonts w:ascii="Garamond" w:hAnsi="Garamond"/>
              </w:rPr>
              <w:t>La ponctuation (, ;. :)</w:t>
            </w:r>
          </w:p>
        </w:tc>
        <w:tc>
          <w:tcPr>
            <w:tcW w:w="3071" w:type="dxa"/>
          </w:tcPr>
          <w:p w:rsidR="00681AD2" w:rsidRPr="009624C4" w:rsidRDefault="004D2D94" w:rsidP="009624C4">
            <w:pPr>
              <w:rPr>
                <w:rFonts w:ascii="Garamond" w:hAnsi="Garamond"/>
              </w:rPr>
            </w:pPr>
            <w:r w:rsidRPr="009624C4">
              <w:rPr>
                <w:rFonts w:ascii="Garamond" w:hAnsi="Garamond"/>
              </w:rPr>
              <w:t xml:space="preserve">J’ouvre </w:t>
            </w:r>
            <w:r w:rsidR="002908D0" w:rsidRPr="009624C4">
              <w:rPr>
                <w:rFonts w:ascii="Garamond" w:hAnsi="Garamond"/>
              </w:rPr>
              <w:t>les volets, le soleil entre dans la chambre.</w:t>
            </w:r>
          </w:p>
        </w:tc>
      </w:tr>
      <w:tr w:rsidR="00681AD2" w:rsidRPr="009624C4" w:rsidTr="00DB3343">
        <w:trPr>
          <w:jc w:val="center"/>
        </w:trPr>
        <w:tc>
          <w:tcPr>
            <w:tcW w:w="3652" w:type="dxa"/>
          </w:tcPr>
          <w:p w:rsidR="00681AD2" w:rsidRPr="009624C4" w:rsidRDefault="00681AD2" w:rsidP="009624C4">
            <w:pPr>
              <w:rPr>
                <w:rFonts w:ascii="Garamond" w:hAnsi="Garamond"/>
              </w:rPr>
            </w:pPr>
            <w:r w:rsidRPr="009624C4">
              <w:rPr>
                <w:rFonts w:ascii="Garamond" w:hAnsi="Garamond"/>
              </w:rPr>
              <w:t xml:space="preserve">Une coordination </w:t>
            </w:r>
          </w:p>
        </w:tc>
        <w:tc>
          <w:tcPr>
            <w:tcW w:w="2489" w:type="dxa"/>
            <w:tcBorders>
              <w:bottom w:val="single" w:sz="4" w:space="0" w:color="000000" w:themeColor="text1"/>
            </w:tcBorders>
          </w:tcPr>
          <w:p w:rsidR="00681AD2" w:rsidRPr="009624C4" w:rsidRDefault="00B15BE1" w:rsidP="009624C4">
            <w:pPr>
              <w:rPr>
                <w:rFonts w:ascii="Garamond" w:hAnsi="Garamond"/>
              </w:rPr>
            </w:pPr>
            <w:r w:rsidRPr="009624C4">
              <w:rPr>
                <w:rFonts w:ascii="Garamond" w:hAnsi="Garamond"/>
              </w:rPr>
              <w:t>-et</w:t>
            </w:r>
          </w:p>
        </w:tc>
        <w:tc>
          <w:tcPr>
            <w:tcW w:w="3071" w:type="dxa"/>
          </w:tcPr>
          <w:p w:rsidR="00681AD2" w:rsidRPr="009624C4" w:rsidRDefault="00B15BE1" w:rsidP="009624C4">
            <w:pPr>
              <w:rPr>
                <w:rFonts w:ascii="Garamond" w:hAnsi="Garamond"/>
              </w:rPr>
            </w:pPr>
            <w:r w:rsidRPr="009624C4">
              <w:rPr>
                <w:rFonts w:ascii="Garamond" w:hAnsi="Garamond"/>
              </w:rPr>
              <w:t xml:space="preserve">Je ferme l’enveloppe et y colle un timbre. </w:t>
            </w:r>
          </w:p>
        </w:tc>
      </w:tr>
      <w:tr w:rsidR="00B15BE1" w:rsidRPr="009624C4" w:rsidTr="00DB3343">
        <w:trPr>
          <w:trHeight w:val="345"/>
          <w:jc w:val="center"/>
        </w:trPr>
        <w:tc>
          <w:tcPr>
            <w:tcW w:w="3652" w:type="dxa"/>
            <w:vMerge w:val="restart"/>
          </w:tcPr>
          <w:p w:rsidR="00B15BE1" w:rsidRPr="009624C4" w:rsidRDefault="00B15BE1" w:rsidP="009624C4">
            <w:pPr>
              <w:rPr>
                <w:rFonts w:ascii="Garamond" w:hAnsi="Garamond"/>
              </w:rPr>
            </w:pPr>
            <w:r w:rsidRPr="009624C4">
              <w:rPr>
                <w:rFonts w:ascii="Garamond" w:hAnsi="Garamond"/>
              </w:rPr>
              <w:t xml:space="preserve">Le vocabulaire </w:t>
            </w:r>
          </w:p>
        </w:tc>
        <w:tc>
          <w:tcPr>
            <w:tcW w:w="2489" w:type="dxa"/>
            <w:tcBorders>
              <w:bottom w:val="single" w:sz="4" w:space="0" w:color="1F497D" w:themeColor="text2"/>
            </w:tcBorders>
          </w:tcPr>
          <w:p w:rsidR="00B15BE1" w:rsidRPr="009624C4" w:rsidRDefault="00B15BE1" w:rsidP="009624C4">
            <w:pPr>
              <w:rPr>
                <w:rFonts w:ascii="Garamond" w:hAnsi="Garamond"/>
              </w:rPr>
            </w:pPr>
            <w:r w:rsidRPr="009624C4">
              <w:rPr>
                <w:rFonts w:ascii="Garamond" w:hAnsi="Garamond"/>
              </w:rPr>
              <w:t xml:space="preserve">L’expression il y a </w:t>
            </w:r>
          </w:p>
        </w:tc>
        <w:tc>
          <w:tcPr>
            <w:tcW w:w="3071" w:type="dxa"/>
            <w:tcBorders>
              <w:bottom w:val="single" w:sz="4" w:space="0" w:color="1F497D" w:themeColor="text2"/>
            </w:tcBorders>
          </w:tcPr>
          <w:p w:rsidR="00B15BE1" w:rsidRPr="009624C4" w:rsidRDefault="00B15BE1" w:rsidP="009624C4">
            <w:pPr>
              <w:rPr>
                <w:rFonts w:ascii="Garamond" w:hAnsi="Garamond"/>
              </w:rPr>
            </w:pPr>
            <w:r w:rsidRPr="009624C4">
              <w:rPr>
                <w:rFonts w:ascii="Garamond" w:hAnsi="Garamond"/>
              </w:rPr>
              <w:t>Il est né il y a vingt ans.</w:t>
            </w:r>
          </w:p>
        </w:tc>
      </w:tr>
      <w:tr w:rsidR="00B15BE1" w:rsidRPr="009624C4" w:rsidTr="00DB3343">
        <w:trPr>
          <w:trHeight w:val="519"/>
          <w:jc w:val="center"/>
        </w:trPr>
        <w:tc>
          <w:tcPr>
            <w:tcW w:w="3652" w:type="dxa"/>
            <w:vMerge/>
          </w:tcPr>
          <w:p w:rsidR="00B15BE1" w:rsidRPr="009624C4" w:rsidRDefault="00B15BE1" w:rsidP="009624C4">
            <w:pPr>
              <w:rPr>
                <w:rFonts w:ascii="Garamond" w:hAnsi="Garamond"/>
              </w:rPr>
            </w:pPr>
          </w:p>
        </w:tc>
        <w:tc>
          <w:tcPr>
            <w:tcW w:w="2489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:rsidR="00B15BE1" w:rsidRPr="009624C4" w:rsidRDefault="00B15BE1" w:rsidP="009624C4">
            <w:pPr>
              <w:rPr>
                <w:rFonts w:ascii="Garamond" w:hAnsi="Garamond"/>
              </w:rPr>
            </w:pPr>
            <w:r w:rsidRPr="009624C4">
              <w:rPr>
                <w:rFonts w:ascii="Garamond" w:hAnsi="Garamond"/>
              </w:rPr>
              <w:t xml:space="preserve">Des adjectifs </w:t>
            </w:r>
          </w:p>
        </w:tc>
        <w:tc>
          <w:tcPr>
            <w:tcW w:w="3071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:rsidR="00B15BE1" w:rsidRPr="009624C4" w:rsidRDefault="00B15BE1" w:rsidP="009624C4">
            <w:pPr>
              <w:rPr>
                <w:rFonts w:ascii="Garamond" w:hAnsi="Garamond"/>
              </w:rPr>
            </w:pPr>
            <w:r w:rsidRPr="009624C4">
              <w:rPr>
                <w:rFonts w:ascii="Garamond" w:hAnsi="Garamond"/>
              </w:rPr>
              <w:t>Au siècle dernier.</w:t>
            </w:r>
          </w:p>
        </w:tc>
      </w:tr>
      <w:tr w:rsidR="00B15BE1" w:rsidRPr="009624C4" w:rsidTr="00DB3343">
        <w:trPr>
          <w:trHeight w:val="540"/>
          <w:jc w:val="center"/>
        </w:trPr>
        <w:tc>
          <w:tcPr>
            <w:tcW w:w="3652" w:type="dxa"/>
            <w:vMerge/>
          </w:tcPr>
          <w:p w:rsidR="00B15BE1" w:rsidRPr="009624C4" w:rsidRDefault="00B15BE1" w:rsidP="009624C4">
            <w:pPr>
              <w:rPr>
                <w:rFonts w:ascii="Garamond" w:hAnsi="Garamond"/>
              </w:rPr>
            </w:pPr>
          </w:p>
        </w:tc>
        <w:tc>
          <w:tcPr>
            <w:tcW w:w="2489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:rsidR="00B15BE1" w:rsidRPr="009624C4" w:rsidRDefault="00B15BE1" w:rsidP="009624C4">
            <w:pPr>
              <w:rPr>
                <w:rFonts w:ascii="Garamond" w:hAnsi="Garamond"/>
              </w:rPr>
            </w:pPr>
            <w:r w:rsidRPr="009624C4">
              <w:rPr>
                <w:rFonts w:ascii="Garamond" w:hAnsi="Garamond"/>
              </w:rPr>
              <w:t xml:space="preserve">Des noms ou des groupes nominaux </w:t>
            </w:r>
          </w:p>
        </w:tc>
        <w:tc>
          <w:tcPr>
            <w:tcW w:w="3071" w:type="dxa"/>
            <w:tcBorders>
              <w:top w:val="single" w:sz="4" w:space="0" w:color="1F497D" w:themeColor="text2"/>
            </w:tcBorders>
          </w:tcPr>
          <w:p w:rsidR="00B15BE1" w:rsidRPr="009624C4" w:rsidRDefault="00B15BE1" w:rsidP="009624C4">
            <w:pPr>
              <w:rPr>
                <w:rFonts w:ascii="Garamond" w:hAnsi="Garamond"/>
              </w:rPr>
            </w:pPr>
            <w:r w:rsidRPr="009624C4">
              <w:rPr>
                <w:rFonts w:ascii="Garamond" w:hAnsi="Garamond"/>
              </w:rPr>
              <w:t>Seconde, minute, heure, de bonne heure…</w:t>
            </w:r>
          </w:p>
        </w:tc>
      </w:tr>
      <w:tr w:rsidR="00681AD2" w:rsidRPr="009624C4" w:rsidTr="00DB3343">
        <w:trPr>
          <w:jc w:val="center"/>
        </w:trPr>
        <w:tc>
          <w:tcPr>
            <w:tcW w:w="3652" w:type="dxa"/>
          </w:tcPr>
          <w:p w:rsidR="00681AD2" w:rsidRPr="009624C4" w:rsidRDefault="00681AD2" w:rsidP="009624C4">
            <w:pPr>
              <w:rPr>
                <w:rFonts w:ascii="Garamond" w:hAnsi="Garamond"/>
              </w:rPr>
            </w:pPr>
            <w:r w:rsidRPr="009624C4">
              <w:rPr>
                <w:rFonts w:ascii="Garamond" w:hAnsi="Garamond"/>
              </w:rPr>
              <w:t>Une date</w:t>
            </w:r>
          </w:p>
        </w:tc>
        <w:tc>
          <w:tcPr>
            <w:tcW w:w="2489" w:type="dxa"/>
            <w:tcBorders>
              <w:top w:val="single" w:sz="4" w:space="0" w:color="1F497D" w:themeColor="text2"/>
            </w:tcBorders>
          </w:tcPr>
          <w:p w:rsidR="00681AD2" w:rsidRPr="009624C4" w:rsidRDefault="00681AD2" w:rsidP="009624C4">
            <w:pPr>
              <w:rPr>
                <w:rFonts w:ascii="Garamond" w:hAnsi="Garamond"/>
              </w:rPr>
            </w:pPr>
          </w:p>
        </w:tc>
        <w:tc>
          <w:tcPr>
            <w:tcW w:w="3071" w:type="dxa"/>
          </w:tcPr>
          <w:p w:rsidR="00681AD2" w:rsidRPr="009624C4" w:rsidRDefault="00B15BE1" w:rsidP="009624C4">
            <w:pPr>
              <w:rPr>
                <w:rFonts w:ascii="Garamond" w:hAnsi="Garamond"/>
              </w:rPr>
            </w:pPr>
            <w:r w:rsidRPr="009624C4">
              <w:rPr>
                <w:rFonts w:ascii="Garamond" w:hAnsi="Garamond"/>
              </w:rPr>
              <w:t>Le 8 mai 1945.</w:t>
            </w:r>
          </w:p>
        </w:tc>
      </w:tr>
    </w:tbl>
    <w:p w:rsidR="00681AD2" w:rsidRDefault="00681AD2" w:rsidP="009624C4">
      <w:pPr>
        <w:spacing w:after="0"/>
        <w:rPr>
          <w:rFonts w:ascii="Garamond" w:hAnsi="Garamond"/>
        </w:rPr>
      </w:pPr>
    </w:p>
    <w:p w:rsidR="00DB3343" w:rsidRDefault="00DB3343" w:rsidP="009624C4">
      <w:pPr>
        <w:spacing w:after="0"/>
        <w:rPr>
          <w:rFonts w:ascii="Garamond" w:hAnsi="Garamond"/>
        </w:rPr>
      </w:pPr>
    </w:p>
    <w:p w:rsidR="00DB3343" w:rsidRDefault="00DB3343" w:rsidP="009624C4">
      <w:pPr>
        <w:spacing w:after="0"/>
        <w:rPr>
          <w:rFonts w:ascii="Garamond" w:hAnsi="Garamond"/>
        </w:rPr>
      </w:pPr>
    </w:p>
    <w:p w:rsidR="00DB3343" w:rsidRDefault="00DB3343" w:rsidP="009624C4">
      <w:pPr>
        <w:spacing w:after="0"/>
        <w:rPr>
          <w:rFonts w:ascii="Garamond" w:hAnsi="Garamond"/>
        </w:rPr>
      </w:pPr>
    </w:p>
    <w:p w:rsidR="00DB3343" w:rsidRDefault="00DB3343" w:rsidP="009624C4">
      <w:pPr>
        <w:spacing w:after="0"/>
        <w:rPr>
          <w:rFonts w:ascii="Garamond" w:hAnsi="Garamond"/>
        </w:rPr>
      </w:pPr>
    </w:p>
    <w:p w:rsidR="00DB3343" w:rsidRDefault="00DB3343" w:rsidP="009624C4">
      <w:pPr>
        <w:spacing w:after="0"/>
        <w:rPr>
          <w:rFonts w:ascii="Garamond" w:hAnsi="Garamond"/>
        </w:rPr>
      </w:pPr>
    </w:p>
    <w:p w:rsidR="00DB3343" w:rsidRPr="009624C4" w:rsidRDefault="00DB3343" w:rsidP="009624C4">
      <w:pPr>
        <w:spacing w:after="0"/>
        <w:rPr>
          <w:rFonts w:ascii="Garamond" w:hAnsi="Garamond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4D2D94" w:rsidRPr="009624C4" w:rsidTr="001C27C5">
        <w:trPr>
          <w:jc w:val="center"/>
        </w:trPr>
        <w:tc>
          <w:tcPr>
            <w:tcW w:w="9212" w:type="dxa"/>
          </w:tcPr>
          <w:p w:rsidR="001C27C5" w:rsidRPr="00DB3343" w:rsidRDefault="001C27C5" w:rsidP="001C27C5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DB3343">
              <w:rPr>
                <w:rFonts w:ascii="Garamond" w:hAnsi="Garamond"/>
              </w:rPr>
              <w:t>L’emploi du subjonctif</w:t>
            </w:r>
          </w:p>
          <w:p w:rsidR="001C27C5" w:rsidRPr="009624C4" w:rsidRDefault="001C27C5" w:rsidP="001C27C5">
            <w:pPr>
              <w:ind w:firstLine="360"/>
              <w:rPr>
                <w:rFonts w:ascii="Garamond" w:hAnsi="Garamond"/>
              </w:rPr>
            </w:pPr>
            <w:r w:rsidRPr="009624C4">
              <w:rPr>
                <w:rFonts w:ascii="Garamond" w:hAnsi="Garamond"/>
              </w:rPr>
              <w:t xml:space="preserve">On emploie le subjonctif après les conjonctions de subordination en attendant que, avant que, </w:t>
            </w:r>
            <w:r w:rsidRPr="009624C4">
              <w:rPr>
                <w:rFonts w:ascii="Garamond" w:hAnsi="Garamond"/>
              </w:rPr>
              <w:lastRenderedPageBreak/>
              <w:t>jusqu’à ce que.</w:t>
            </w:r>
          </w:p>
          <w:p w:rsidR="001C27C5" w:rsidRPr="009624C4" w:rsidRDefault="001C27C5" w:rsidP="001C27C5">
            <w:pPr>
              <w:ind w:firstLine="360"/>
              <w:rPr>
                <w:rFonts w:ascii="Garamond" w:hAnsi="Garamond"/>
              </w:rPr>
            </w:pPr>
            <w:r w:rsidRPr="001C27C5">
              <w:rPr>
                <w:rFonts w:ascii="Garamond" w:hAnsi="Garamond"/>
                <w:b/>
                <w:bCs/>
              </w:rPr>
              <w:t>Ex. :</w:t>
            </w:r>
            <w:r w:rsidRPr="009624C4">
              <w:rPr>
                <w:rFonts w:ascii="Garamond" w:hAnsi="Garamond"/>
              </w:rPr>
              <w:t xml:space="preserve"> En attendant que vous écriviez, nous commencerons les travaux. </w:t>
            </w:r>
          </w:p>
          <w:p w:rsidR="001C27C5" w:rsidRPr="009624C4" w:rsidRDefault="001C27C5" w:rsidP="001C27C5">
            <w:pPr>
              <w:ind w:firstLine="360"/>
              <w:rPr>
                <w:rFonts w:ascii="Garamond" w:hAnsi="Garamond"/>
              </w:rPr>
            </w:pPr>
            <w:r w:rsidRPr="009624C4">
              <w:rPr>
                <w:rFonts w:ascii="Garamond" w:hAnsi="Garamond"/>
              </w:rPr>
              <w:t>On emploie l’indicatif après les autres conjonctions de subordination.</w:t>
            </w:r>
          </w:p>
          <w:p w:rsidR="001C27C5" w:rsidRDefault="001C27C5" w:rsidP="001C27C5">
            <w:pPr>
              <w:ind w:firstLine="360"/>
              <w:rPr>
                <w:rFonts w:ascii="Garamond" w:hAnsi="Garamond"/>
              </w:rPr>
            </w:pPr>
            <w:r w:rsidRPr="001C27C5">
              <w:rPr>
                <w:rFonts w:ascii="Garamond" w:hAnsi="Garamond"/>
                <w:b/>
                <w:bCs/>
              </w:rPr>
              <w:t>N.B. :</w:t>
            </w:r>
            <w:r w:rsidRPr="009624C4">
              <w:rPr>
                <w:rFonts w:ascii="Garamond" w:hAnsi="Garamond"/>
              </w:rPr>
              <w:t xml:space="preserve"> Je partirai après que j’aurai fini.</w:t>
            </w:r>
          </w:p>
          <w:p w:rsidR="001C27C5" w:rsidRPr="001C27C5" w:rsidRDefault="001C27C5" w:rsidP="001C27C5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1C27C5">
              <w:rPr>
                <w:rFonts w:ascii="Garamond" w:hAnsi="Garamond"/>
              </w:rPr>
              <w:t xml:space="preserve">L’emploi de ne avec avant que </w:t>
            </w:r>
          </w:p>
          <w:p w:rsidR="001C27C5" w:rsidRPr="009624C4" w:rsidRDefault="001C27C5" w:rsidP="001C27C5">
            <w:pPr>
              <w:ind w:firstLine="360"/>
              <w:rPr>
                <w:rFonts w:ascii="Garamond" w:hAnsi="Garamond"/>
              </w:rPr>
            </w:pPr>
            <w:r w:rsidRPr="009624C4">
              <w:rPr>
                <w:rFonts w:ascii="Garamond" w:hAnsi="Garamond"/>
              </w:rPr>
              <w:t xml:space="preserve">L’emploi de ne avec avant que est facultatif. </w:t>
            </w:r>
          </w:p>
          <w:p w:rsidR="001C27C5" w:rsidRPr="009624C4" w:rsidRDefault="001C27C5" w:rsidP="001C27C5">
            <w:pPr>
              <w:ind w:firstLine="360"/>
              <w:rPr>
                <w:rFonts w:ascii="Garamond" w:hAnsi="Garamond"/>
              </w:rPr>
            </w:pPr>
            <w:r w:rsidRPr="001C27C5">
              <w:rPr>
                <w:rFonts w:ascii="Garamond" w:hAnsi="Garamond"/>
                <w:b/>
                <w:bCs/>
              </w:rPr>
              <w:t>Ex. :</w:t>
            </w:r>
            <w:r w:rsidRPr="009624C4">
              <w:rPr>
                <w:rFonts w:ascii="Garamond" w:hAnsi="Garamond"/>
              </w:rPr>
              <w:t xml:space="preserve"> Partez avant qu’il soit trop tard/ Partez avant qu’il ne soit trop tard.</w:t>
            </w:r>
          </w:p>
          <w:p w:rsidR="001C27C5" w:rsidRPr="001C27C5" w:rsidRDefault="001C27C5" w:rsidP="001C27C5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1C27C5">
              <w:rPr>
                <w:rFonts w:ascii="Garamond" w:hAnsi="Garamond"/>
              </w:rPr>
              <w:t>Faut-il écrire quand, quant ou qu’en</w:t>
            </w:r>
            <w:r>
              <w:rPr>
                <w:rFonts w:ascii="Garamond" w:hAnsi="Garamond"/>
              </w:rPr>
              <w:t> ?</w:t>
            </w:r>
          </w:p>
          <w:p w:rsidR="001C27C5" w:rsidRPr="009624C4" w:rsidRDefault="001C27C5" w:rsidP="001C27C5">
            <w:pPr>
              <w:ind w:firstLine="360"/>
              <w:rPr>
                <w:rFonts w:ascii="Garamond" w:hAnsi="Garamond"/>
              </w:rPr>
            </w:pPr>
            <w:r w:rsidRPr="009624C4">
              <w:rPr>
                <w:rFonts w:ascii="Garamond" w:hAnsi="Garamond"/>
              </w:rPr>
              <w:t>On écrit quand lorsqu’on peut le remplacer par le moment où ou au moment où.</w:t>
            </w:r>
          </w:p>
          <w:p w:rsidR="001C27C5" w:rsidRPr="009624C4" w:rsidRDefault="001C27C5" w:rsidP="001C27C5">
            <w:pPr>
              <w:ind w:firstLine="360"/>
              <w:rPr>
                <w:rFonts w:ascii="Garamond" w:hAnsi="Garamond"/>
              </w:rPr>
            </w:pPr>
            <w:r w:rsidRPr="001C27C5">
              <w:rPr>
                <w:rFonts w:ascii="Garamond" w:hAnsi="Garamond"/>
                <w:b/>
                <w:bCs/>
              </w:rPr>
              <w:t>Ex. :</w:t>
            </w:r>
            <w:r w:rsidRPr="009624C4">
              <w:rPr>
                <w:rFonts w:ascii="Garamond" w:hAnsi="Garamond"/>
              </w:rPr>
              <w:t xml:space="preserve"> Elle ne précise pas quand elle peut venir/ Elle ne précise pas le moment où elle peut venir.</w:t>
            </w:r>
          </w:p>
          <w:p w:rsidR="001C27C5" w:rsidRPr="009624C4" w:rsidRDefault="001C27C5" w:rsidP="001C27C5">
            <w:pPr>
              <w:ind w:firstLine="360"/>
              <w:rPr>
                <w:rFonts w:ascii="Garamond" w:hAnsi="Garamond"/>
              </w:rPr>
            </w:pPr>
            <w:r w:rsidRPr="009624C4">
              <w:rPr>
                <w:rFonts w:ascii="Garamond" w:hAnsi="Garamond"/>
              </w:rPr>
              <w:t>On écrit quand lorsqu’on peut le remplacer par en ce qui concerne.</w:t>
            </w:r>
          </w:p>
          <w:p w:rsidR="001C27C5" w:rsidRPr="009624C4" w:rsidRDefault="001C27C5" w:rsidP="001C27C5">
            <w:pPr>
              <w:ind w:left="360"/>
              <w:rPr>
                <w:rFonts w:ascii="Garamond" w:hAnsi="Garamond"/>
              </w:rPr>
            </w:pPr>
            <w:r w:rsidRPr="001C27C5">
              <w:rPr>
                <w:rFonts w:ascii="Garamond" w:hAnsi="Garamond"/>
                <w:b/>
                <w:bCs/>
              </w:rPr>
              <w:t>Ex. :</w:t>
            </w:r>
            <w:r w:rsidRPr="009624C4">
              <w:rPr>
                <w:rFonts w:ascii="Garamond" w:hAnsi="Garamond"/>
              </w:rPr>
              <w:t xml:space="preserve"> Quant à moi, je ne peux envisager une autre solution/ En ce qui me concerne, je ne peux envisager une autre solution.</w:t>
            </w:r>
          </w:p>
          <w:p w:rsidR="001C27C5" w:rsidRPr="009624C4" w:rsidRDefault="001C27C5" w:rsidP="001C27C5">
            <w:pPr>
              <w:ind w:firstLine="360"/>
              <w:rPr>
                <w:rFonts w:ascii="Garamond" w:hAnsi="Garamond"/>
              </w:rPr>
            </w:pPr>
            <w:r w:rsidRPr="009624C4">
              <w:rPr>
                <w:rFonts w:ascii="Garamond" w:hAnsi="Garamond"/>
              </w:rPr>
              <w:t>On écrit qu’en lorsqu’on peut le remplacer par que… de cela.</w:t>
            </w:r>
          </w:p>
          <w:p w:rsidR="001C27C5" w:rsidRPr="009624C4" w:rsidRDefault="001C27C5" w:rsidP="001C27C5">
            <w:pPr>
              <w:ind w:firstLine="360"/>
              <w:rPr>
                <w:rFonts w:ascii="Garamond" w:hAnsi="Garamond"/>
              </w:rPr>
            </w:pPr>
            <w:r w:rsidRPr="001C27C5">
              <w:rPr>
                <w:rFonts w:ascii="Garamond" w:hAnsi="Garamond"/>
                <w:b/>
                <w:bCs/>
              </w:rPr>
              <w:t>Ex. :</w:t>
            </w:r>
            <w:r w:rsidRPr="009624C4">
              <w:rPr>
                <w:rFonts w:ascii="Garamond" w:hAnsi="Garamond"/>
              </w:rPr>
              <w:t xml:space="preserve"> Qu’en pensez-vous?/ Que pensez-vous de cela ?</w:t>
            </w:r>
          </w:p>
          <w:p w:rsidR="00B15BE1" w:rsidRPr="009624C4" w:rsidRDefault="00B15BE1" w:rsidP="00DB3343">
            <w:pPr>
              <w:rPr>
                <w:rFonts w:ascii="Garamond" w:hAnsi="Garamond"/>
              </w:rPr>
            </w:pPr>
          </w:p>
        </w:tc>
      </w:tr>
    </w:tbl>
    <w:p w:rsidR="004D2D94" w:rsidRPr="009624C4" w:rsidRDefault="004D2D94" w:rsidP="00DB3343">
      <w:pPr>
        <w:spacing w:after="0"/>
        <w:rPr>
          <w:rFonts w:ascii="Garamond" w:hAnsi="Garamond"/>
        </w:rPr>
      </w:pPr>
    </w:p>
    <w:sectPr w:rsidR="004D2D94" w:rsidRPr="009624C4" w:rsidSect="009624C4">
      <w:headerReference w:type="default" r:id="rId7"/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50E" w:rsidRDefault="009F150E" w:rsidP="009624C4">
      <w:pPr>
        <w:spacing w:after="0" w:line="240" w:lineRule="auto"/>
      </w:pPr>
      <w:r>
        <w:separator/>
      </w:r>
    </w:p>
  </w:endnote>
  <w:endnote w:type="continuationSeparator" w:id="1">
    <w:p w:rsidR="009F150E" w:rsidRDefault="009F150E" w:rsidP="0096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50E" w:rsidRDefault="009F150E" w:rsidP="009624C4">
      <w:pPr>
        <w:spacing w:after="0" w:line="240" w:lineRule="auto"/>
      </w:pPr>
      <w:r>
        <w:separator/>
      </w:r>
    </w:p>
  </w:footnote>
  <w:footnote w:type="continuationSeparator" w:id="1">
    <w:p w:rsidR="009F150E" w:rsidRDefault="009F150E" w:rsidP="0096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681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Layout w:type="fixed"/>
      <w:tblLook w:val="04A0"/>
    </w:tblPr>
    <w:tblGrid>
      <w:gridCol w:w="2358"/>
      <w:gridCol w:w="2374"/>
      <w:gridCol w:w="313"/>
      <w:gridCol w:w="1702"/>
      <w:gridCol w:w="3934"/>
    </w:tblGrid>
    <w:tr w:rsidR="007F057B" w:rsidRPr="00570D71" w:rsidTr="001D5629">
      <w:trPr>
        <w:trHeight w:val="741"/>
      </w:trPr>
      <w:tc>
        <w:tcPr>
          <w:tcW w:w="5045" w:type="dxa"/>
          <w:gridSpan w:val="3"/>
          <w:hideMark/>
        </w:tcPr>
        <w:p w:rsidR="007F057B" w:rsidRPr="0052632B" w:rsidRDefault="007F057B" w:rsidP="001D5629">
          <w:pPr>
            <w:pStyle w:val="En-tte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>Université Mohamed Lamine Debaghine, Sétif 2</w:t>
          </w:r>
        </w:p>
        <w:p w:rsidR="007F057B" w:rsidRPr="0052632B" w:rsidRDefault="007F057B" w:rsidP="001D5629">
          <w:pPr>
            <w:pStyle w:val="En-tte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 xml:space="preserve">Faculté des lettres et des langues </w:t>
          </w:r>
        </w:p>
        <w:p w:rsidR="007F057B" w:rsidRPr="0052632B" w:rsidRDefault="007F057B" w:rsidP="001D5629">
          <w:pPr>
            <w:pStyle w:val="En-tte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 xml:space="preserve">Département de langue et littérature anglaises </w:t>
          </w:r>
        </w:p>
      </w:tc>
      <w:tc>
        <w:tcPr>
          <w:tcW w:w="5636" w:type="dxa"/>
          <w:gridSpan w:val="2"/>
        </w:tcPr>
        <w:p w:rsidR="007F057B" w:rsidRPr="0052632B" w:rsidRDefault="007F057B" w:rsidP="001D5629">
          <w:pPr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>Chargée de cours : D</w:t>
          </w:r>
          <w:r w:rsidRPr="0052632B">
            <w:rPr>
              <w:rFonts w:ascii="Garamond" w:hAnsi="Garamond" w:cstheme="majorBidi"/>
              <w:color w:val="000000" w:themeColor="text1"/>
              <w:vertAlign w:val="superscript"/>
            </w:rPr>
            <w:t>r</w:t>
          </w:r>
          <w:r>
            <w:rPr>
              <w:rFonts w:ascii="Garamond" w:hAnsi="Garamond" w:cstheme="majorBidi"/>
              <w:color w:val="000000" w:themeColor="text1"/>
              <w:vertAlign w:val="superscript"/>
            </w:rPr>
            <w:t>e</w:t>
          </w:r>
          <w:r w:rsidRPr="0052632B">
            <w:rPr>
              <w:rFonts w:ascii="Garamond" w:hAnsi="Garamond" w:cstheme="majorBidi"/>
              <w:color w:val="000000" w:themeColor="text1"/>
            </w:rPr>
            <w:t xml:space="preserve"> Oumaima BENDAAMOUCHE</w:t>
          </w:r>
        </w:p>
        <w:p w:rsidR="007F057B" w:rsidRPr="0052632B" w:rsidRDefault="007F057B" w:rsidP="001D5629">
          <w:pPr>
            <w:pStyle w:val="En-tte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eastAsia="MS Gothic" w:hAnsi="MS Gothic" w:cstheme="majorBidi"/>
              <w:color w:val="000000" w:themeColor="text1"/>
              <w:shd w:val="clear" w:color="auto" w:fill="FFFFFF"/>
            </w:rPr>
            <w:t>✉</w:t>
          </w:r>
          <w:r w:rsidRPr="0052632B">
            <w:rPr>
              <w:rFonts w:ascii="Garamond" w:hAnsi="Garamond" w:cstheme="majorBidi"/>
              <w:color w:val="000000" w:themeColor="text1"/>
            </w:rPr>
            <w:t xml:space="preserve">bendaamouche.oumaima@yahoo.com </w:t>
          </w:r>
        </w:p>
      </w:tc>
    </w:tr>
    <w:tr w:rsidR="007F057B" w:rsidRPr="00570D71" w:rsidTr="001D5629">
      <w:trPr>
        <w:trHeight w:val="302"/>
      </w:trPr>
      <w:tc>
        <w:tcPr>
          <w:tcW w:w="2358" w:type="dxa"/>
          <w:hideMark/>
        </w:tcPr>
        <w:p w:rsidR="007F057B" w:rsidRPr="0052632B" w:rsidRDefault="007F057B" w:rsidP="001D5629">
          <w:pPr>
            <w:pStyle w:val="En-tte"/>
            <w:spacing w:line="276" w:lineRule="auto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>Module : FLE</w:t>
          </w:r>
        </w:p>
      </w:tc>
      <w:tc>
        <w:tcPr>
          <w:tcW w:w="2374" w:type="dxa"/>
          <w:hideMark/>
        </w:tcPr>
        <w:p w:rsidR="007F057B" w:rsidRPr="0052632B" w:rsidRDefault="007F057B" w:rsidP="001D5629">
          <w:pPr>
            <w:pStyle w:val="En-tte"/>
            <w:spacing w:line="276" w:lineRule="auto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 xml:space="preserve">Niveau : L1 </w:t>
          </w:r>
        </w:p>
      </w:tc>
      <w:tc>
        <w:tcPr>
          <w:tcW w:w="2015" w:type="dxa"/>
          <w:gridSpan w:val="2"/>
          <w:hideMark/>
        </w:tcPr>
        <w:p w:rsidR="007F057B" w:rsidRPr="0052632B" w:rsidRDefault="007F057B" w:rsidP="001D5629">
          <w:pPr>
            <w:spacing w:line="276" w:lineRule="auto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>Section</w:t>
          </w:r>
          <w:r>
            <w:rPr>
              <w:rFonts w:ascii="Garamond" w:hAnsi="Garamond" w:cstheme="majorBidi"/>
              <w:color w:val="000000" w:themeColor="text1"/>
            </w:rPr>
            <w:t>s</w:t>
          </w:r>
          <w:r w:rsidRPr="0052632B">
            <w:rPr>
              <w:rFonts w:ascii="Garamond" w:hAnsi="Garamond" w:cstheme="majorBidi"/>
              <w:color w:val="000000" w:themeColor="text1"/>
            </w:rPr>
            <w:t> : A-B</w:t>
          </w:r>
          <w:r>
            <w:rPr>
              <w:rFonts w:ascii="Garamond" w:hAnsi="Garamond" w:cstheme="majorBidi"/>
              <w:color w:val="000000" w:themeColor="text1"/>
            </w:rPr>
            <w:t>-C</w:t>
          </w:r>
        </w:p>
      </w:tc>
      <w:tc>
        <w:tcPr>
          <w:tcW w:w="3934" w:type="dxa"/>
          <w:hideMark/>
        </w:tcPr>
        <w:p w:rsidR="007F057B" w:rsidRPr="0052632B" w:rsidRDefault="007F057B" w:rsidP="007F057B">
          <w:pPr>
            <w:pStyle w:val="En-tte"/>
            <w:spacing w:line="276" w:lineRule="auto"/>
            <w:rPr>
              <w:rFonts w:ascii="Garamond" w:hAnsi="Garamond" w:cstheme="majorBidi"/>
              <w:color w:val="000000" w:themeColor="text1"/>
            </w:rPr>
          </w:pPr>
          <w:r>
            <w:rPr>
              <w:rFonts w:ascii="Garamond" w:hAnsi="Garamond" w:cstheme="majorBidi"/>
              <w:color w:val="000000" w:themeColor="text1"/>
            </w:rPr>
            <w:t>Cours N°…</w:t>
          </w:r>
          <w:r w:rsidRPr="0052632B">
            <w:rPr>
              <w:rFonts w:ascii="Garamond" w:hAnsi="Garamond" w:cstheme="majorBidi"/>
              <w:color w:val="000000" w:themeColor="text1"/>
            </w:rPr>
            <w:t xml:space="preserve"> : </w:t>
          </w:r>
          <w:r>
            <w:rPr>
              <w:rFonts w:ascii="Garamond" w:hAnsi="Garamond" w:cstheme="majorBidi"/>
              <w:color w:val="000000" w:themeColor="text1"/>
            </w:rPr>
            <w:t xml:space="preserve">l’expression du temps </w:t>
          </w:r>
        </w:p>
      </w:tc>
    </w:tr>
    <w:tr w:rsidR="007F057B" w:rsidRPr="00570D71" w:rsidTr="001D5629">
      <w:trPr>
        <w:trHeight w:val="484"/>
      </w:trPr>
      <w:tc>
        <w:tcPr>
          <w:tcW w:w="10681" w:type="dxa"/>
          <w:gridSpan w:val="5"/>
          <w:hideMark/>
        </w:tcPr>
        <w:p w:rsidR="007F057B" w:rsidRPr="0052632B" w:rsidRDefault="007F057B" w:rsidP="001D5629">
          <w:pPr>
            <w:pStyle w:val="En-tte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 xml:space="preserve">Remarque(s) : </w:t>
          </w:r>
        </w:p>
        <w:p w:rsidR="007F057B" w:rsidRPr="0052632B" w:rsidRDefault="007F057B" w:rsidP="001D5629">
          <w:pPr>
            <w:pStyle w:val="En-tte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>……………………………………………………………………………………………………………………………</w:t>
          </w:r>
        </w:p>
      </w:tc>
    </w:tr>
  </w:tbl>
  <w:p w:rsidR="009624C4" w:rsidRDefault="009624C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4250"/>
    <w:multiLevelType w:val="hybridMultilevel"/>
    <w:tmpl w:val="FF0AA6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AD2"/>
    <w:rsid w:val="001C27C5"/>
    <w:rsid w:val="002908D0"/>
    <w:rsid w:val="00424179"/>
    <w:rsid w:val="004D2D94"/>
    <w:rsid w:val="00681AD2"/>
    <w:rsid w:val="00734D35"/>
    <w:rsid w:val="007F057B"/>
    <w:rsid w:val="009624C4"/>
    <w:rsid w:val="009F150E"/>
    <w:rsid w:val="00B15BE1"/>
    <w:rsid w:val="00BE02B9"/>
    <w:rsid w:val="00CF1C8A"/>
    <w:rsid w:val="00CF4C33"/>
    <w:rsid w:val="00DB3343"/>
    <w:rsid w:val="00E6737D"/>
    <w:rsid w:val="00ED1B56"/>
    <w:rsid w:val="00F5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3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1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62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24C4"/>
  </w:style>
  <w:style w:type="paragraph" w:styleId="Pieddepage">
    <w:name w:val="footer"/>
    <w:basedOn w:val="Normal"/>
    <w:link w:val="PieddepageCar"/>
    <w:uiPriority w:val="99"/>
    <w:semiHidden/>
    <w:unhideWhenUsed/>
    <w:rsid w:val="00962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624C4"/>
  </w:style>
  <w:style w:type="paragraph" w:styleId="Paragraphedeliste">
    <w:name w:val="List Paragraph"/>
    <w:basedOn w:val="Normal"/>
    <w:uiPriority w:val="34"/>
    <w:qFormat/>
    <w:rsid w:val="00962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2024-05-11T17:40:00Z</dcterms:created>
  <dcterms:modified xsi:type="dcterms:W3CDTF">2024-05-11T17:40:00Z</dcterms:modified>
</cp:coreProperties>
</file>