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0E" w:rsidRPr="00E776CF" w:rsidRDefault="00D2530E" w:rsidP="00E776CF">
      <w:pPr>
        <w:pStyle w:val="Paragraphedeliste"/>
        <w:numPr>
          <w:ilvl w:val="0"/>
          <w:numId w:val="9"/>
        </w:numPr>
        <w:spacing w:after="0"/>
        <w:rPr>
          <w:rFonts w:ascii="Garamond" w:hAnsi="Garamond"/>
          <w:b/>
          <w:bCs/>
          <w:color w:val="000000" w:themeColor="text1"/>
          <w:sz w:val="24"/>
          <w:szCs w:val="24"/>
        </w:rPr>
      </w:pPr>
      <w:r w:rsidRPr="00E776CF">
        <w:rPr>
          <w:rFonts w:ascii="Garamond" w:hAnsi="Garamond"/>
          <w:b/>
          <w:bCs/>
          <w:color w:val="000000" w:themeColor="text1"/>
          <w:sz w:val="24"/>
          <w:szCs w:val="24"/>
        </w:rPr>
        <w:t xml:space="preserve">L’expression de la conséquence  </w:t>
      </w:r>
    </w:p>
    <w:p w:rsidR="00D2530E" w:rsidRPr="00E776CF" w:rsidRDefault="000D204D" w:rsidP="00E776CF">
      <w:pPr>
        <w:spacing w:after="0"/>
        <w:ind w:firstLine="360"/>
        <w:rPr>
          <w:rFonts w:ascii="Garamond" w:hAnsi="Garamond"/>
          <w:color w:val="000000" w:themeColor="text1"/>
          <w:sz w:val="24"/>
          <w:szCs w:val="24"/>
          <w:vertAlign w:val="superscript"/>
        </w:rPr>
      </w:pPr>
      <w:r w:rsidRPr="000D204D">
        <w:rPr>
          <w:rFonts w:ascii="Garamond" w:hAnsi="Garamond"/>
          <w:noProof/>
          <w:color w:val="000000" w:themeColor="text1"/>
          <w:sz w:val="24"/>
          <w:szCs w:val="24"/>
          <w:lang w:eastAsia="fr-F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6" type="#_x0000_t38" style="position:absolute;left:0;text-align:left;margin-left:208.2pt;margin-top:21.4pt;width:10.5pt;height:.05pt;rotation:270;z-index:251658240" o:connectortype="curved" adj="10800,-53136000,-584743">
            <v:stroke endarrow="block"/>
          </v:shape>
        </w:pict>
      </w:r>
      <w:r w:rsidR="00D2530E" w:rsidRPr="00E776CF">
        <w:rPr>
          <w:rFonts w:ascii="Garamond" w:hAnsi="Garamond"/>
          <w:color w:val="000000" w:themeColor="text1"/>
          <w:sz w:val="24"/>
          <w:szCs w:val="24"/>
        </w:rPr>
        <w:t xml:space="preserve">Les trottoirs ont été élargis </w:t>
      </w:r>
      <w:r w:rsidR="00D2530E" w:rsidRPr="00E776CF">
        <w:rPr>
          <w:rFonts w:ascii="Garamond" w:hAnsi="Garamond"/>
          <w:color w:val="000000" w:themeColor="text1"/>
          <w:sz w:val="24"/>
          <w:szCs w:val="24"/>
          <w:u w:val="single"/>
        </w:rPr>
        <w:t>de sorte que nous circulons mieux</w:t>
      </w:r>
      <w:r w:rsidR="00D2530E" w:rsidRPr="00E776CF">
        <w:rPr>
          <w:rFonts w:ascii="Garamond" w:hAnsi="Garamond"/>
          <w:color w:val="000000" w:themeColor="text1"/>
          <w:sz w:val="24"/>
          <w:szCs w:val="24"/>
          <w:u w:val="single"/>
          <w:vertAlign w:val="subscript"/>
        </w:rPr>
        <w:t xml:space="preserve">. </w:t>
      </w:r>
    </w:p>
    <w:p w:rsidR="00431E52" w:rsidRPr="00E776CF" w:rsidRDefault="00431E52" w:rsidP="00BB5EA7">
      <w:pPr>
        <w:spacing w:after="0"/>
        <w:rPr>
          <w:rFonts w:ascii="Garamond" w:hAnsi="Garamond"/>
          <w:color w:val="000000" w:themeColor="text1"/>
          <w:sz w:val="24"/>
          <w:szCs w:val="24"/>
        </w:rPr>
      </w:pPr>
    </w:p>
    <w:p w:rsidR="00D2530E" w:rsidRPr="00E776CF" w:rsidRDefault="00D2530E" w:rsidP="00BB5EA7">
      <w:pPr>
        <w:spacing w:after="0"/>
        <w:rPr>
          <w:rFonts w:ascii="Garamond" w:hAnsi="Garamond"/>
          <w:b/>
          <w:bCs/>
          <w:color w:val="000000" w:themeColor="text1"/>
          <w:sz w:val="24"/>
          <w:szCs w:val="24"/>
        </w:rPr>
      </w:pPr>
      <w:r w:rsidRPr="00E776CF">
        <w:rPr>
          <w:rFonts w:ascii="Garamond" w:hAnsi="Garamond"/>
          <w:b/>
          <w:bCs/>
          <w:color w:val="000000" w:themeColor="text1"/>
          <w:sz w:val="24"/>
          <w:szCs w:val="24"/>
        </w:rPr>
        <w:t xml:space="preserve">Proposition subordonnée exprimant la conséquence introduite par une conjonction de subordination. </w:t>
      </w:r>
    </w:p>
    <w:p w:rsidR="00D2530E" w:rsidRPr="00E776CF" w:rsidRDefault="00D2530E" w:rsidP="00E776CF">
      <w:pPr>
        <w:pStyle w:val="Paragraphedeliste"/>
        <w:numPr>
          <w:ilvl w:val="0"/>
          <w:numId w:val="9"/>
        </w:numPr>
        <w:shd w:val="clear" w:color="auto" w:fill="FFFFFF"/>
        <w:spacing w:after="0" w:line="240" w:lineRule="auto"/>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b/>
          <w:bCs/>
          <w:color w:val="000000" w:themeColor="text1"/>
          <w:sz w:val="24"/>
          <w:szCs w:val="24"/>
          <w:lang w:eastAsia="fr-FR"/>
        </w:rPr>
        <w:t>Quand exprime-t-on la conséquence ?</w:t>
      </w:r>
    </w:p>
    <w:p w:rsidR="00431E52" w:rsidRPr="00E776CF" w:rsidRDefault="00D2530E" w:rsidP="00431E52">
      <w:pPr>
        <w:shd w:val="clear" w:color="auto" w:fill="FFFFFF"/>
        <w:spacing w:after="0" w:line="240" w:lineRule="auto"/>
        <w:ind w:firstLine="708"/>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Pour exposer le résultat d’une action ou d’un événement.</w:t>
      </w:r>
    </w:p>
    <w:p w:rsidR="00D2530E" w:rsidRPr="00E776CF" w:rsidRDefault="00D2530E" w:rsidP="00431E52">
      <w:pPr>
        <w:shd w:val="clear" w:color="auto" w:fill="FFFFFF"/>
        <w:spacing w:after="0" w:line="240" w:lineRule="auto"/>
        <w:ind w:firstLine="708"/>
        <w:rPr>
          <w:rFonts w:ascii="Garamond" w:eastAsia="Times New Roman" w:hAnsi="Garamond" w:cs="Helvetica"/>
          <w:color w:val="000000" w:themeColor="text1"/>
          <w:sz w:val="24"/>
          <w:szCs w:val="24"/>
          <w:lang w:eastAsia="fr-FR"/>
        </w:rPr>
      </w:pPr>
      <w:r w:rsidRPr="00E776CF">
        <w:rPr>
          <w:rFonts w:ascii="Garamond" w:eastAsia="Times New Roman" w:hAnsi="Garamond" w:cs="Helvetica"/>
          <w:b/>
          <w:bCs/>
          <w:color w:val="000000" w:themeColor="text1"/>
          <w:sz w:val="24"/>
          <w:szCs w:val="24"/>
          <w:lang w:eastAsia="fr-FR"/>
        </w:rPr>
        <w:t>Ex. :</w:t>
      </w:r>
      <w:r w:rsidRPr="00E776CF">
        <w:rPr>
          <w:rFonts w:ascii="Garamond" w:eastAsia="Times New Roman" w:hAnsi="Garamond" w:cs="Helvetica"/>
          <w:color w:val="000000" w:themeColor="text1"/>
          <w:sz w:val="24"/>
          <w:szCs w:val="24"/>
          <w:lang w:eastAsia="fr-FR"/>
        </w:rPr>
        <w:t xml:space="preserve"> Il a marqué un but. C’est pourquoi son équipe le félicite.</w:t>
      </w:r>
    </w:p>
    <w:p w:rsidR="00D2530E" w:rsidRPr="00E776CF" w:rsidRDefault="00D2530E" w:rsidP="00E776CF">
      <w:pPr>
        <w:pStyle w:val="Paragraphedeliste"/>
        <w:numPr>
          <w:ilvl w:val="0"/>
          <w:numId w:val="9"/>
        </w:numPr>
        <w:shd w:val="clear" w:color="auto" w:fill="FFFFFF"/>
        <w:spacing w:after="0" w:line="240" w:lineRule="auto"/>
        <w:jc w:val="both"/>
        <w:rPr>
          <w:rFonts w:ascii="Garamond" w:eastAsia="Times New Roman" w:hAnsi="Garamond" w:cs="Helvetica"/>
          <w:b/>
          <w:bCs/>
          <w:color w:val="000000" w:themeColor="text1"/>
          <w:sz w:val="24"/>
          <w:szCs w:val="24"/>
          <w:lang w:eastAsia="fr-FR"/>
        </w:rPr>
      </w:pPr>
      <w:r w:rsidRPr="00E776CF">
        <w:rPr>
          <w:rFonts w:ascii="Garamond" w:eastAsia="Times New Roman" w:hAnsi="Garamond" w:cs="Helvetica"/>
          <w:b/>
          <w:bCs/>
          <w:color w:val="000000" w:themeColor="text1"/>
          <w:sz w:val="24"/>
          <w:szCs w:val="24"/>
          <w:lang w:eastAsia="fr-FR"/>
        </w:rPr>
        <w:t>Comment exprime-t-on la conséquence ?</w:t>
      </w:r>
    </w:p>
    <w:tbl>
      <w:tblPr>
        <w:tblStyle w:val="Grilledutableau"/>
        <w:tblW w:w="0" w:type="auto"/>
        <w:jc w:val="center"/>
        <w:tblLook w:val="04A0"/>
      </w:tblPr>
      <w:tblGrid>
        <w:gridCol w:w="3070"/>
        <w:gridCol w:w="3071"/>
        <w:gridCol w:w="3071"/>
      </w:tblGrid>
      <w:tr w:rsidR="00431E52" w:rsidRPr="00E776CF" w:rsidTr="00E776CF">
        <w:trPr>
          <w:jc w:val="center"/>
        </w:trPr>
        <w:tc>
          <w:tcPr>
            <w:tcW w:w="6141" w:type="dxa"/>
            <w:gridSpan w:val="2"/>
          </w:tcPr>
          <w:p w:rsidR="00431E52" w:rsidRPr="00E776CF" w:rsidRDefault="00431E52" w:rsidP="00BB5EA7">
            <w:pPr>
              <w:jc w:val="both"/>
              <w:rPr>
                <w:rFonts w:ascii="Garamond" w:eastAsia="Times New Roman" w:hAnsi="Garamond" w:cs="Helvetica"/>
                <w:b/>
                <w:bCs/>
                <w:color w:val="000000" w:themeColor="text1"/>
                <w:sz w:val="24"/>
                <w:szCs w:val="24"/>
                <w:lang w:eastAsia="fr-FR"/>
              </w:rPr>
            </w:pPr>
            <w:r w:rsidRPr="00E776CF">
              <w:rPr>
                <w:rFonts w:ascii="Garamond" w:eastAsia="Times New Roman" w:hAnsi="Garamond" w:cs="Helvetica"/>
                <w:b/>
                <w:bCs/>
                <w:color w:val="000000" w:themeColor="text1"/>
                <w:sz w:val="24"/>
                <w:szCs w:val="24"/>
                <w:lang w:eastAsia="fr-FR"/>
              </w:rPr>
              <w:t xml:space="preserve">Moyens </w:t>
            </w:r>
          </w:p>
        </w:tc>
        <w:tc>
          <w:tcPr>
            <w:tcW w:w="3071" w:type="dxa"/>
            <w:tcBorders>
              <w:bottom w:val="single" w:sz="4" w:space="0" w:color="000000" w:themeColor="text1"/>
            </w:tcBorders>
          </w:tcPr>
          <w:p w:rsidR="00431E52" w:rsidRPr="00E776CF" w:rsidRDefault="00431E52" w:rsidP="00BB5EA7">
            <w:pPr>
              <w:jc w:val="both"/>
              <w:rPr>
                <w:rFonts w:ascii="Garamond" w:eastAsia="Times New Roman" w:hAnsi="Garamond" w:cs="Helvetica"/>
                <w:b/>
                <w:bCs/>
                <w:color w:val="000000" w:themeColor="text1"/>
                <w:sz w:val="24"/>
                <w:szCs w:val="24"/>
                <w:lang w:eastAsia="fr-FR"/>
              </w:rPr>
            </w:pPr>
            <w:r w:rsidRPr="00E776CF">
              <w:rPr>
                <w:rFonts w:ascii="Garamond" w:eastAsia="Times New Roman" w:hAnsi="Garamond" w:cs="Helvetica"/>
                <w:b/>
                <w:bCs/>
                <w:color w:val="000000" w:themeColor="text1"/>
                <w:sz w:val="24"/>
                <w:szCs w:val="24"/>
                <w:lang w:eastAsia="fr-FR"/>
              </w:rPr>
              <w:t xml:space="preserve">Exemples </w:t>
            </w:r>
          </w:p>
        </w:tc>
      </w:tr>
      <w:tr w:rsidR="00D2530E" w:rsidRPr="00E776CF" w:rsidTr="00E776CF">
        <w:trPr>
          <w:trHeight w:val="1635"/>
          <w:jc w:val="center"/>
        </w:trPr>
        <w:tc>
          <w:tcPr>
            <w:tcW w:w="3070" w:type="dxa"/>
            <w:vMerge w:val="restart"/>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Un verbe </w:t>
            </w:r>
          </w:p>
        </w:tc>
        <w:tc>
          <w:tcPr>
            <w:tcW w:w="3071" w:type="dxa"/>
            <w:tcBorders>
              <w:bottom w:val="single" w:sz="4" w:space="0" w:color="1F497D" w:themeColor="text2"/>
            </w:tcBorders>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Découler, résulter, venir, etc.</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Causer, produire, entraîner, etc. </w:t>
            </w:r>
          </w:p>
        </w:tc>
        <w:tc>
          <w:tcPr>
            <w:tcW w:w="3071" w:type="dxa"/>
            <w:tcBorders>
              <w:bottom w:val="single" w:sz="4" w:space="0" w:color="1F497D" w:themeColor="text2"/>
            </w:tcBorders>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La hausse du prix de l’essence résulte de celle du dollar.</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N.B. : C’est le groupe nominal sujet qui exprime la conséquence.</w:t>
            </w:r>
          </w:p>
        </w:tc>
      </w:tr>
      <w:tr w:rsidR="00D2530E" w:rsidRPr="00E776CF" w:rsidTr="00E776CF">
        <w:trPr>
          <w:trHeight w:val="495"/>
          <w:jc w:val="center"/>
        </w:trPr>
        <w:tc>
          <w:tcPr>
            <w:tcW w:w="3070" w:type="dxa"/>
            <w:vMerge/>
          </w:tcPr>
          <w:p w:rsidR="00D2530E" w:rsidRPr="00E776CF" w:rsidRDefault="00D2530E" w:rsidP="00BB5EA7">
            <w:pPr>
              <w:jc w:val="both"/>
              <w:rPr>
                <w:rFonts w:ascii="Garamond" w:eastAsia="Times New Roman" w:hAnsi="Garamond" w:cs="Helvetica"/>
                <w:color w:val="000000" w:themeColor="text1"/>
                <w:sz w:val="24"/>
                <w:szCs w:val="24"/>
                <w:lang w:eastAsia="fr-FR"/>
              </w:rPr>
            </w:pPr>
          </w:p>
        </w:tc>
        <w:tc>
          <w:tcPr>
            <w:tcW w:w="3071" w:type="dxa"/>
            <w:tcBorders>
              <w:top w:val="single" w:sz="4" w:space="0" w:color="1F497D" w:themeColor="text2"/>
            </w:tcBorders>
          </w:tcPr>
          <w:p w:rsidR="00D2530E" w:rsidRPr="00E776CF" w:rsidRDefault="00D2530E" w:rsidP="00BB5EA7">
            <w:pPr>
              <w:jc w:val="both"/>
              <w:rPr>
                <w:rFonts w:ascii="Garamond" w:eastAsia="Times New Roman" w:hAnsi="Garamond" w:cs="Helvetica"/>
                <w:color w:val="000000" w:themeColor="text1"/>
                <w:sz w:val="24"/>
                <w:szCs w:val="24"/>
                <w:lang w:eastAsia="fr-FR"/>
              </w:rPr>
            </w:pPr>
          </w:p>
        </w:tc>
        <w:tc>
          <w:tcPr>
            <w:tcW w:w="3071" w:type="dxa"/>
            <w:tcBorders>
              <w:top w:val="single" w:sz="4" w:space="0" w:color="1F497D" w:themeColor="text2"/>
              <w:bottom w:val="single" w:sz="4" w:space="0" w:color="1F497D" w:themeColor="text2"/>
            </w:tcBorders>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La secousse sismique a causé d’importants dégâts.</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N.B. : C’est le groupe nominal sujet qui exprime la conséquence.</w:t>
            </w:r>
            <w:r w:rsidRPr="00E776CF">
              <w:rPr>
                <w:rFonts w:ascii="Garamond" w:eastAsia="Times New Roman" w:hAnsi="Garamond" w:cs="Helvetica"/>
                <w:color w:val="000000" w:themeColor="text1"/>
                <w:sz w:val="24"/>
                <w:szCs w:val="24"/>
                <w:lang w:eastAsia="fr-FR"/>
              </w:rPr>
              <w:br/>
            </w:r>
          </w:p>
        </w:tc>
      </w:tr>
      <w:tr w:rsidR="00D2530E" w:rsidRPr="00E776CF" w:rsidTr="00E776CF">
        <w:trPr>
          <w:jc w:val="center"/>
        </w:trPr>
        <w:tc>
          <w:tcPr>
            <w:tcW w:w="3070"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Une conjonction de coordination</w:t>
            </w:r>
          </w:p>
        </w:tc>
        <w:tc>
          <w:tcPr>
            <w:tcW w:w="3071"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Donc </w:t>
            </w:r>
          </w:p>
        </w:tc>
        <w:tc>
          <w:tcPr>
            <w:tcW w:w="3071" w:type="dxa"/>
            <w:tcBorders>
              <w:top w:val="single" w:sz="4" w:space="0" w:color="1F497D" w:themeColor="text2"/>
            </w:tcBorders>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Je rêve donc je suis.</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C’est la proposition qui suit la conjonction qui exprime la conséquence. </w:t>
            </w:r>
          </w:p>
        </w:tc>
      </w:tr>
      <w:tr w:rsidR="00D2530E" w:rsidRPr="00E776CF" w:rsidTr="00E776CF">
        <w:trPr>
          <w:jc w:val="center"/>
        </w:trPr>
        <w:tc>
          <w:tcPr>
            <w:tcW w:w="3070"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Une juxtaposition </w:t>
            </w:r>
          </w:p>
        </w:tc>
        <w:tc>
          <w:tcPr>
            <w:tcW w:w="3071"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La ponctuation (, ; . : )</w:t>
            </w:r>
          </w:p>
        </w:tc>
        <w:tc>
          <w:tcPr>
            <w:tcW w:w="3071" w:type="dxa"/>
          </w:tcPr>
          <w:p w:rsidR="00D2530E" w:rsidRPr="00E776CF" w:rsidRDefault="00D2530E" w:rsidP="00BB5EA7">
            <w:pPr>
              <w:shd w:val="clear" w:color="auto" w:fill="FFFFFF"/>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Il pleut, je reste à l’abri.</w:t>
            </w:r>
          </w:p>
          <w:p w:rsidR="00BB5EA7" w:rsidRPr="00E776CF" w:rsidRDefault="00BB5EA7" w:rsidP="00BB5EA7">
            <w:pPr>
              <w:shd w:val="clear" w:color="auto" w:fill="FFFFFF"/>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L’événement : Il pleut </w:t>
            </w:r>
          </w:p>
          <w:p w:rsidR="00BB5EA7" w:rsidRPr="00E776CF" w:rsidRDefault="00BB5EA7" w:rsidP="00BB5EA7">
            <w:pPr>
              <w:shd w:val="clear" w:color="auto" w:fill="FFFFFF"/>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Sa conséquence : je reste à l’abri.</w:t>
            </w:r>
          </w:p>
        </w:tc>
      </w:tr>
      <w:tr w:rsidR="00D2530E" w:rsidRPr="00E776CF" w:rsidTr="00E776CF">
        <w:trPr>
          <w:jc w:val="center"/>
        </w:trPr>
        <w:tc>
          <w:tcPr>
            <w:tcW w:w="3070"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Une expression </w:t>
            </w:r>
          </w:p>
        </w:tc>
        <w:tc>
          <w:tcPr>
            <w:tcW w:w="3071" w:type="dxa"/>
          </w:tcPr>
          <w:p w:rsidR="00D2530E" w:rsidRPr="00E776CF" w:rsidRDefault="00D2530E" w:rsidP="00BB5EA7">
            <w:pPr>
              <w:shd w:val="clear" w:color="auto" w:fill="FFFFFF"/>
              <w:spacing w:before="100" w:beforeAutospacing="1"/>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ainsi, </w:t>
            </w:r>
            <w:r w:rsidR="00E776CF" w:rsidRPr="00E776CF">
              <w:rPr>
                <w:rFonts w:ascii="Garamond" w:eastAsia="Times New Roman" w:hAnsi="Garamond" w:cs="Helvetica"/>
                <w:color w:val="000000" w:themeColor="text1"/>
                <w:sz w:val="24"/>
                <w:szCs w:val="24"/>
                <w:lang w:eastAsia="fr-FR"/>
              </w:rPr>
              <w:t>c’est</w:t>
            </w:r>
            <w:r w:rsidRPr="00E776CF">
              <w:rPr>
                <w:rFonts w:ascii="Garamond" w:eastAsia="Times New Roman" w:hAnsi="Garamond" w:cs="Helvetica"/>
                <w:color w:val="000000" w:themeColor="text1"/>
                <w:sz w:val="24"/>
                <w:szCs w:val="24"/>
                <w:lang w:eastAsia="fr-FR"/>
              </w:rPr>
              <w:t xml:space="preserve"> pourquoi, par conséquent, aussi, dès lors.</w:t>
            </w:r>
          </w:p>
          <w:p w:rsidR="00D2530E" w:rsidRPr="00E776CF" w:rsidRDefault="00D2530E" w:rsidP="00BB5EA7">
            <w:pPr>
              <w:jc w:val="both"/>
              <w:rPr>
                <w:rFonts w:ascii="Garamond" w:eastAsia="Times New Roman" w:hAnsi="Garamond" w:cs="Helvetica"/>
                <w:color w:val="000000" w:themeColor="text1"/>
                <w:sz w:val="24"/>
                <w:szCs w:val="24"/>
                <w:lang w:eastAsia="fr-FR"/>
              </w:rPr>
            </w:pPr>
          </w:p>
        </w:tc>
        <w:tc>
          <w:tcPr>
            <w:tcW w:w="3071" w:type="dxa"/>
          </w:tcPr>
          <w:p w:rsidR="00D2530E" w:rsidRPr="00E776CF" w:rsidRDefault="00D2530E" w:rsidP="00BB5EA7">
            <w:pPr>
              <w:shd w:val="clear" w:color="auto" w:fill="FFFFFF"/>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Il a bousculé son adversaire, c’est pourquoi il est exclu du jeu.</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N.B. : </w:t>
            </w:r>
          </w:p>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L’action : Il a bousculé son adversaire</w:t>
            </w:r>
          </w:p>
          <w:p w:rsidR="00D2530E" w:rsidRPr="00E776CF" w:rsidRDefault="00D2530E" w:rsidP="00BB5EA7">
            <w:pPr>
              <w:shd w:val="clear" w:color="auto" w:fill="FFFFFF"/>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Sa conséquence : il est exclu du jeu.</w:t>
            </w:r>
          </w:p>
        </w:tc>
      </w:tr>
      <w:tr w:rsidR="00D2530E" w:rsidRPr="00E776CF" w:rsidTr="00E776CF">
        <w:trPr>
          <w:jc w:val="center"/>
        </w:trPr>
        <w:tc>
          <w:tcPr>
            <w:tcW w:w="3070"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Un</w:t>
            </w:r>
            <w:r w:rsidR="00E776CF">
              <w:rPr>
                <w:rFonts w:ascii="Garamond" w:eastAsia="Times New Roman" w:hAnsi="Garamond" w:cs="Helvetica"/>
                <w:color w:val="000000" w:themeColor="text1"/>
                <w:sz w:val="24"/>
                <w:szCs w:val="24"/>
                <w:lang w:eastAsia="fr-FR"/>
              </w:rPr>
              <w:t>e</w:t>
            </w:r>
            <w:r w:rsidRPr="00E776CF">
              <w:rPr>
                <w:rFonts w:ascii="Garamond" w:eastAsia="Times New Roman" w:hAnsi="Garamond" w:cs="Helvetica"/>
                <w:color w:val="000000" w:themeColor="text1"/>
                <w:sz w:val="24"/>
                <w:szCs w:val="24"/>
                <w:lang w:eastAsia="fr-FR"/>
              </w:rPr>
              <w:t xml:space="preserve"> locution prépositive</w:t>
            </w:r>
          </w:p>
        </w:tc>
        <w:tc>
          <w:tcPr>
            <w:tcW w:w="3071" w:type="dxa"/>
          </w:tcPr>
          <w:p w:rsidR="00D2530E" w:rsidRPr="00E776CF" w:rsidRDefault="00D2530E" w:rsidP="00BB5EA7">
            <w:pPr>
              <w:shd w:val="clear" w:color="auto" w:fill="FFFFFF"/>
              <w:spacing w:before="100" w:beforeAutospacing="1"/>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trop pour, de façon à, de manière à, au point de, assez pour, trop peu pour.</w:t>
            </w:r>
          </w:p>
        </w:tc>
        <w:tc>
          <w:tcPr>
            <w:tcW w:w="3071" w:type="dxa"/>
          </w:tcPr>
          <w:p w:rsidR="00D2530E" w:rsidRPr="00E776CF" w:rsidRDefault="00D2530E" w:rsidP="00BB5EA7">
            <w:pPr>
              <w:shd w:val="clear" w:color="auto" w:fill="FFFFFF"/>
              <w:spacing w:before="100" w:beforeAutospacing="1"/>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Il vous connaît assez pour intervenir en votre faveur.</w:t>
            </w:r>
          </w:p>
          <w:p w:rsidR="00D2530E" w:rsidRPr="00E776CF" w:rsidRDefault="00BB5EA7"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C’est la proposition infinitive qui suit la locution qui exprime la conséquence. </w:t>
            </w:r>
          </w:p>
        </w:tc>
      </w:tr>
      <w:tr w:rsidR="00D2530E" w:rsidRPr="00E776CF" w:rsidTr="00E776CF">
        <w:trPr>
          <w:jc w:val="center"/>
        </w:trPr>
        <w:tc>
          <w:tcPr>
            <w:tcW w:w="3070" w:type="dxa"/>
          </w:tcPr>
          <w:p w:rsidR="00D2530E" w:rsidRPr="00E776CF" w:rsidRDefault="00D2530E"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Une conjonction de subordination </w:t>
            </w:r>
          </w:p>
        </w:tc>
        <w:tc>
          <w:tcPr>
            <w:tcW w:w="3071" w:type="dxa"/>
          </w:tcPr>
          <w:p w:rsidR="00D2530E" w:rsidRPr="00E776CF" w:rsidRDefault="00D2530E" w:rsidP="00BB5EA7">
            <w:pPr>
              <w:shd w:val="clear" w:color="auto" w:fill="FFFFFF"/>
              <w:spacing w:before="100" w:beforeAutospacing="1"/>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de sorte que, de manière que, de façon que, de telle sorte que, de telle manière que, de telle façon que, en sorte que, tant que, si bien que, tant et si </w:t>
            </w:r>
            <w:r w:rsidRPr="00E776CF">
              <w:rPr>
                <w:rFonts w:ascii="Garamond" w:eastAsia="Times New Roman" w:hAnsi="Garamond" w:cs="Helvetica"/>
                <w:color w:val="000000" w:themeColor="text1"/>
                <w:sz w:val="24"/>
                <w:szCs w:val="24"/>
                <w:lang w:eastAsia="fr-FR"/>
              </w:rPr>
              <w:lastRenderedPageBreak/>
              <w:t>bien que, si... que, ainsi que ..., au point que, à ce point que, à tel point que, à un tel point que, tellement que, tel que, etc.</w:t>
            </w:r>
          </w:p>
          <w:p w:rsidR="00D2530E" w:rsidRPr="00E776CF" w:rsidRDefault="00D2530E" w:rsidP="00BB5EA7">
            <w:pPr>
              <w:jc w:val="both"/>
              <w:rPr>
                <w:rFonts w:ascii="Garamond" w:eastAsia="Times New Roman" w:hAnsi="Garamond" w:cs="Helvetica"/>
                <w:color w:val="000000" w:themeColor="text1"/>
                <w:sz w:val="24"/>
                <w:szCs w:val="24"/>
                <w:lang w:eastAsia="fr-FR"/>
              </w:rPr>
            </w:pPr>
          </w:p>
        </w:tc>
        <w:tc>
          <w:tcPr>
            <w:tcW w:w="3071" w:type="dxa"/>
          </w:tcPr>
          <w:p w:rsidR="00D2530E" w:rsidRPr="00E776CF" w:rsidRDefault="00BB5EA7"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lastRenderedPageBreak/>
              <w:t xml:space="preserve">Ils sont arrivés trop tôt, de sorte que je n’ai pas pu tout préparer. </w:t>
            </w:r>
          </w:p>
          <w:p w:rsidR="00BB5EA7" w:rsidRPr="00E776CF" w:rsidRDefault="00BB5EA7" w:rsidP="00BB5EA7">
            <w:pPr>
              <w:jc w:val="both"/>
              <w:rPr>
                <w:rFonts w:ascii="Garamond" w:eastAsia="Times New Roman" w:hAnsi="Garamond" w:cs="Helvetica"/>
                <w:color w:val="000000" w:themeColor="text1"/>
                <w:sz w:val="24"/>
                <w:szCs w:val="24"/>
                <w:lang w:eastAsia="fr-FR"/>
              </w:rPr>
            </w:pPr>
            <w:r w:rsidRPr="00E776CF">
              <w:rPr>
                <w:rFonts w:ascii="Garamond" w:eastAsia="Times New Roman" w:hAnsi="Garamond" w:cs="Helvetica"/>
                <w:color w:val="000000" w:themeColor="text1"/>
                <w:sz w:val="24"/>
                <w:szCs w:val="24"/>
                <w:lang w:eastAsia="fr-FR"/>
              </w:rPr>
              <w:t xml:space="preserve">C’est la proposition subordonnée qui exprime la </w:t>
            </w:r>
            <w:r w:rsidRPr="00E776CF">
              <w:rPr>
                <w:rFonts w:ascii="Garamond" w:eastAsia="Times New Roman" w:hAnsi="Garamond" w:cs="Helvetica"/>
                <w:color w:val="000000" w:themeColor="text1"/>
                <w:sz w:val="24"/>
                <w:szCs w:val="24"/>
                <w:lang w:eastAsia="fr-FR"/>
              </w:rPr>
              <w:lastRenderedPageBreak/>
              <w:t xml:space="preserve">conséquence. </w:t>
            </w:r>
          </w:p>
        </w:tc>
      </w:tr>
    </w:tbl>
    <w:p w:rsidR="00E6737D" w:rsidRPr="00E776CF" w:rsidRDefault="00BB5EA7" w:rsidP="00E776CF">
      <w:pPr>
        <w:pStyle w:val="Paragraphedeliste"/>
        <w:numPr>
          <w:ilvl w:val="0"/>
          <w:numId w:val="9"/>
        </w:numPr>
        <w:shd w:val="clear" w:color="auto" w:fill="FFFFFF"/>
        <w:spacing w:after="0" w:line="240" w:lineRule="auto"/>
        <w:jc w:val="both"/>
        <w:rPr>
          <w:rFonts w:ascii="Garamond" w:hAnsi="Garamond"/>
          <w:b/>
          <w:bCs/>
          <w:color w:val="000000" w:themeColor="text1"/>
          <w:sz w:val="24"/>
          <w:szCs w:val="24"/>
        </w:rPr>
      </w:pPr>
      <w:r w:rsidRPr="00E776CF">
        <w:rPr>
          <w:rFonts w:ascii="Garamond" w:hAnsi="Garamond"/>
          <w:b/>
          <w:bCs/>
          <w:color w:val="000000" w:themeColor="text1"/>
          <w:sz w:val="24"/>
          <w:szCs w:val="24"/>
        </w:rPr>
        <w:lastRenderedPageBreak/>
        <w:t xml:space="preserve">L’expression de la conséquence dans la phrase </w:t>
      </w:r>
    </w:p>
    <w:tbl>
      <w:tblPr>
        <w:tblW w:w="10710" w:type="dxa"/>
        <w:tblInd w:w="-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0710"/>
      </w:tblGrid>
      <w:tr w:rsidR="00E776CF" w:rsidRPr="00E776CF" w:rsidTr="00E776CF">
        <w:trPr>
          <w:trHeight w:val="4410"/>
        </w:trPr>
        <w:tc>
          <w:tcPr>
            <w:tcW w:w="10710" w:type="dxa"/>
          </w:tcPr>
          <w:p w:rsidR="00E776CF" w:rsidRPr="00E776CF" w:rsidRDefault="00E776CF" w:rsidP="00E776CF">
            <w:pPr>
              <w:pStyle w:val="Paragraphedeliste"/>
              <w:numPr>
                <w:ilvl w:val="0"/>
                <w:numId w:val="9"/>
              </w:numPr>
              <w:shd w:val="clear" w:color="auto" w:fill="FFFFFF"/>
              <w:spacing w:after="0" w:line="240" w:lineRule="auto"/>
              <w:jc w:val="both"/>
              <w:rPr>
                <w:rFonts w:ascii="Garamond" w:hAnsi="Garamond"/>
                <w:b/>
                <w:bCs/>
                <w:color w:val="000000" w:themeColor="text1"/>
                <w:sz w:val="24"/>
                <w:szCs w:val="24"/>
              </w:rPr>
            </w:pPr>
            <w:r w:rsidRPr="00E776CF">
              <w:rPr>
                <w:rFonts w:ascii="Garamond" w:hAnsi="Garamond"/>
                <w:b/>
                <w:bCs/>
                <w:color w:val="000000" w:themeColor="text1"/>
                <w:sz w:val="24"/>
                <w:szCs w:val="24"/>
              </w:rPr>
              <w:t xml:space="preserve">L’emploi de l’indicatif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color w:val="000000" w:themeColor="text1"/>
                <w:sz w:val="24"/>
                <w:szCs w:val="24"/>
              </w:rPr>
              <w:t xml:space="preserve">On emploie l’indicatif quand la conséquence est présentée comme un fait réel.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va très vite de sorte que nous ne pouvons le suivre.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fait tellement beau que la moisson est déjà faite.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insista tellement qu’il finit par avoir gain de cause. </w:t>
            </w:r>
          </w:p>
          <w:p w:rsidR="00E776CF" w:rsidRPr="00E776CF" w:rsidRDefault="00E776CF" w:rsidP="00E776CF">
            <w:pPr>
              <w:pStyle w:val="Paragraphedeliste"/>
              <w:numPr>
                <w:ilvl w:val="0"/>
                <w:numId w:val="9"/>
              </w:numPr>
              <w:shd w:val="clear" w:color="auto" w:fill="FFFFFF"/>
              <w:spacing w:after="0" w:line="240" w:lineRule="auto"/>
              <w:jc w:val="both"/>
              <w:rPr>
                <w:rFonts w:ascii="Garamond" w:hAnsi="Garamond"/>
                <w:b/>
                <w:bCs/>
                <w:color w:val="000000" w:themeColor="text1"/>
                <w:sz w:val="24"/>
                <w:szCs w:val="24"/>
              </w:rPr>
            </w:pPr>
            <w:r w:rsidRPr="00E776CF">
              <w:rPr>
                <w:rFonts w:ascii="Garamond" w:hAnsi="Garamond"/>
                <w:b/>
                <w:bCs/>
                <w:color w:val="000000" w:themeColor="text1"/>
                <w:sz w:val="24"/>
                <w:szCs w:val="24"/>
              </w:rPr>
              <w:t xml:space="preserve">L’emploi du subjonctif </w:t>
            </w:r>
          </w:p>
          <w:p w:rsidR="00E776CF" w:rsidRPr="00E776CF" w:rsidRDefault="00E776CF" w:rsidP="00E776CF">
            <w:pPr>
              <w:shd w:val="clear" w:color="auto" w:fill="FFFFFF"/>
              <w:spacing w:after="0" w:line="240" w:lineRule="auto"/>
              <w:ind w:left="360"/>
              <w:jc w:val="both"/>
              <w:rPr>
                <w:rFonts w:ascii="Garamond" w:hAnsi="Garamond"/>
                <w:color w:val="000000" w:themeColor="text1"/>
                <w:sz w:val="24"/>
                <w:szCs w:val="24"/>
              </w:rPr>
            </w:pPr>
            <w:r w:rsidRPr="00E776CF">
              <w:rPr>
                <w:rFonts w:ascii="Garamond" w:hAnsi="Garamond"/>
                <w:color w:val="000000" w:themeColor="text1"/>
                <w:sz w:val="24"/>
                <w:szCs w:val="24"/>
              </w:rPr>
              <w:t xml:space="preserve">On emploie le subjonctif avec assez pour que, de façon que, de manière que, suffisamment pour que, trop pour que, trop peu pour que.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fait suffisamment froid pour que nous rallumions le chauffage. </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Placez-vous près de moi de manière que je puisse vous parler pendant la conférence.</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fait assez clair pour qu’on aperçoive le château.</w:t>
            </w:r>
          </w:p>
          <w:p w:rsidR="00E776CF" w:rsidRPr="00E776CF" w:rsidRDefault="00E776CF" w:rsidP="00E776CF">
            <w:pPr>
              <w:shd w:val="clear" w:color="auto" w:fill="FFFFFF"/>
              <w:spacing w:after="0" w:line="240" w:lineRule="auto"/>
              <w:ind w:firstLine="360"/>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C’est trop peu pour que nous désirions revenir. </w:t>
            </w:r>
          </w:p>
          <w:p w:rsidR="00E776CF" w:rsidRPr="00E776CF" w:rsidRDefault="00E776CF" w:rsidP="00E776CF">
            <w:pPr>
              <w:shd w:val="clear" w:color="auto" w:fill="FFFFFF"/>
              <w:spacing w:after="0" w:line="240" w:lineRule="auto"/>
              <w:ind w:firstLine="708"/>
              <w:jc w:val="both"/>
              <w:rPr>
                <w:rFonts w:ascii="Garamond" w:hAnsi="Garamond"/>
                <w:color w:val="000000" w:themeColor="text1"/>
                <w:sz w:val="24"/>
                <w:szCs w:val="24"/>
              </w:rPr>
            </w:pPr>
            <w:r w:rsidRPr="00E776CF">
              <w:rPr>
                <w:rFonts w:ascii="Garamond" w:hAnsi="Garamond"/>
                <w:color w:val="000000" w:themeColor="text1"/>
                <w:sz w:val="24"/>
                <w:szCs w:val="24"/>
              </w:rPr>
              <w:t xml:space="preserve">On emploie le subjonctif quand la conséquence est présentée comme souhaitée. </w:t>
            </w:r>
          </w:p>
          <w:p w:rsidR="00E776CF" w:rsidRPr="00E776CF" w:rsidRDefault="00E776CF" w:rsidP="00E776CF">
            <w:pPr>
              <w:shd w:val="clear" w:color="auto" w:fill="FFFFFF"/>
              <w:spacing w:after="0" w:line="240" w:lineRule="auto"/>
              <w:ind w:firstLine="708"/>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Il est trop tard pour qu’il puisse réussir. </w:t>
            </w:r>
          </w:p>
          <w:p w:rsidR="00E776CF" w:rsidRPr="00E776CF" w:rsidRDefault="00E776CF" w:rsidP="00E776CF">
            <w:pPr>
              <w:shd w:val="clear" w:color="auto" w:fill="FFFFFF"/>
              <w:spacing w:after="0" w:line="240" w:lineRule="auto"/>
              <w:ind w:firstLine="708"/>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C’est assez pour qu’il se souvienne. </w:t>
            </w:r>
          </w:p>
          <w:p w:rsidR="00E776CF" w:rsidRPr="00E776CF" w:rsidRDefault="00E776CF" w:rsidP="00E776CF">
            <w:pPr>
              <w:shd w:val="clear" w:color="auto" w:fill="FFFFFF"/>
              <w:spacing w:after="0" w:line="240" w:lineRule="auto"/>
              <w:ind w:firstLine="708"/>
              <w:jc w:val="both"/>
              <w:rPr>
                <w:rFonts w:ascii="Garamond" w:hAnsi="Garamond"/>
                <w:color w:val="000000" w:themeColor="text1"/>
                <w:sz w:val="24"/>
                <w:szCs w:val="24"/>
              </w:rPr>
            </w:pPr>
            <w:r w:rsidRPr="00E776CF">
              <w:rPr>
                <w:rFonts w:ascii="Garamond" w:hAnsi="Garamond"/>
                <w:b/>
                <w:bCs/>
                <w:color w:val="000000" w:themeColor="text1"/>
                <w:sz w:val="24"/>
                <w:szCs w:val="24"/>
              </w:rPr>
              <w:t>Ex. :</w:t>
            </w:r>
            <w:r w:rsidRPr="00E776CF">
              <w:rPr>
                <w:rFonts w:ascii="Garamond" w:hAnsi="Garamond"/>
                <w:color w:val="000000" w:themeColor="text1"/>
                <w:sz w:val="24"/>
                <w:szCs w:val="24"/>
              </w:rPr>
              <w:t xml:space="preserve"> Y a-t-il quelqu’un à qui je puisse me confier ?</w:t>
            </w:r>
          </w:p>
          <w:p w:rsidR="00E776CF" w:rsidRPr="00E776CF" w:rsidRDefault="00E776CF" w:rsidP="00E776CF">
            <w:pPr>
              <w:shd w:val="clear" w:color="auto" w:fill="FFFFFF"/>
              <w:spacing w:after="0" w:line="240" w:lineRule="auto"/>
              <w:jc w:val="both"/>
              <w:rPr>
                <w:rFonts w:ascii="Garamond" w:hAnsi="Garamond"/>
                <w:color w:val="000000" w:themeColor="text1"/>
                <w:sz w:val="24"/>
                <w:szCs w:val="24"/>
              </w:rPr>
            </w:pPr>
          </w:p>
        </w:tc>
      </w:tr>
    </w:tbl>
    <w:p w:rsidR="00E776CF" w:rsidRPr="00E776CF" w:rsidRDefault="00E776CF" w:rsidP="00E776CF">
      <w:pPr>
        <w:shd w:val="clear" w:color="auto" w:fill="FFFFFF"/>
        <w:spacing w:after="0" w:line="240" w:lineRule="auto"/>
        <w:jc w:val="both"/>
        <w:rPr>
          <w:rFonts w:ascii="Garamond" w:hAnsi="Garamond"/>
          <w:color w:val="000000" w:themeColor="text1"/>
          <w:sz w:val="24"/>
          <w:szCs w:val="24"/>
        </w:rPr>
      </w:pPr>
    </w:p>
    <w:p w:rsidR="00E776CF" w:rsidRPr="00E776CF" w:rsidRDefault="00E776CF" w:rsidP="00E776CF">
      <w:pPr>
        <w:shd w:val="clear" w:color="auto" w:fill="FFFFFF"/>
        <w:spacing w:before="100" w:beforeAutospacing="1" w:after="0" w:line="240" w:lineRule="auto"/>
        <w:jc w:val="both"/>
        <w:rPr>
          <w:rFonts w:ascii="Garamond" w:hAnsi="Garamond"/>
          <w:color w:val="000000" w:themeColor="text1"/>
          <w:sz w:val="24"/>
          <w:szCs w:val="24"/>
        </w:rPr>
      </w:pPr>
    </w:p>
    <w:p w:rsidR="00E776CF" w:rsidRPr="00E776CF" w:rsidRDefault="00E776CF" w:rsidP="00E776CF">
      <w:pPr>
        <w:shd w:val="clear" w:color="auto" w:fill="FFFFFF"/>
        <w:spacing w:before="100" w:beforeAutospacing="1" w:after="0" w:line="240" w:lineRule="auto"/>
        <w:jc w:val="both"/>
        <w:rPr>
          <w:rFonts w:ascii="Garamond" w:hAnsi="Garamond"/>
          <w:color w:val="000000" w:themeColor="text1"/>
          <w:sz w:val="24"/>
          <w:szCs w:val="24"/>
        </w:rPr>
      </w:pPr>
    </w:p>
    <w:p w:rsidR="00BB5EA7" w:rsidRPr="00E776CF" w:rsidRDefault="00BB5EA7" w:rsidP="00BB5EA7">
      <w:pPr>
        <w:shd w:val="clear" w:color="auto" w:fill="FFFFFF"/>
        <w:spacing w:before="100" w:beforeAutospacing="1" w:after="0" w:line="240" w:lineRule="auto"/>
        <w:jc w:val="both"/>
        <w:rPr>
          <w:rFonts w:ascii="Garamond" w:hAnsi="Garamond"/>
          <w:color w:val="000000" w:themeColor="text1"/>
          <w:sz w:val="24"/>
          <w:szCs w:val="24"/>
        </w:rPr>
      </w:pPr>
    </w:p>
    <w:sectPr w:rsidR="00BB5EA7" w:rsidRPr="00E776CF" w:rsidSect="00E776C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EC4" w:rsidRDefault="00E90EC4" w:rsidP="00E776CF">
      <w:pPr>
        <w:spacing w:after="0" w:line="240" w:lineRule="auto"/>
      </w:pPr>
      <w:r>
        <w:separator/>
      </w:r>
    </w:p>
  </w:endnote>
  <w:endnote w:type="continuationSeparator" w:id="1">
    <w:p w:rsidR="00E90EC4" w:rsidRDefault="00E90EC4" w:rsidP="00E77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F" w:rsidRDefault="00E776C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F" w:rsidRDefault="00E776C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F" w:rsidRDefault="00E776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EC4" w:rsidRDefault="00E90EC4" w:rsidP="00E776CF">
      <w:pPr>
        <w:spacing w:after="0" w:line="240" w:lineRule="auto"/>
      </w:pPr>
      <w:r>
        <w:separator/>
      </w:r>
    </w:p>
  </w:footnote>
  <w:footnote w:type="continuationSeparator" w:id="1">
    <w:p w:rsidR="00E90EC4" w:rsidRDefault="00E90EC4" w:rsidP="00E77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F" w:rsidRDefault="00E776C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6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2358"/>
      <w:gridCol w:w="2374"/>
      <w:gridCol w:w="313"/>
      <w:gridCol w:w="1442"/>
      <w:gridCol w:w="4194"/>
    </w:tblGrid>
    <w:tr w:rsidR="00030A0D" w:rsidRPr="00570D71" w:rsidTr="001D5629">
      <w:trPr>
        <w:trHeight w:val="741"/>
      </w:trPr>
      <w:tc>
        <w:tcPr>
          <w:tcW w:w="5045" w:type="dxa"/>
          <w:gridSpan w:val="3"/>
          <w:hideMark/>
        </w:tcPr>
        <w:p w:rsidR="00030A0D" w:rsidRPr="0052632B" w:rsidRDefault="00030A0D" w:rsidP="001D5629">
          <w:pPr>
            <w:pStyle w:val="En-tte"/>
            <w:rPr>
              <w:rFonts w:ascii="Garamond" w:hAnsi="Garamond" w:cstheme="majorBidi"/>
              <w:color w:val="000000" w:themeColor="text1"/>
            </w:rPr>
          </w:pPr>
          <w:r w:rsidRPr="0052632B">
            <w:rPr>
              <w:rFonts w:ascii="Garamond" w:hAnsi="Garamond" w:cstheme="majorBidi"/>
              <w:color w:val="000000" w:themeColor="text1"/>
            </w:rPr>
            <w:t>Université Mohamed Lamine Debaghine, Sétif 2</w:t>
          </w:r>
        </w:p>
        <w:p w:rsidR="00030A0D" w:rsidRPr="0052632B" w:rsidRDefault="00030A0D"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Faculté des lettres et des langues </w:t>
          </w:r>
        </w:p>
        <w:p w:rsidR="00030A0D" w:rsidRPr="0052632B" w:rsidRDefault="00030A0D"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Département de langue et littérature anglaises </w:t>
          </w:r>
        </w:p>
      </w:tc>
      <w:tc>
        <w:tcPr>
          <w:tcW w:w="5636" w:type="dxa"/>
          <w:gridSpan w:val="2"/>
        </w:tcPr>
        <w:p w:rsidR="00030A0D" w:rsidRPr="0052632B" w:rsidRDefault="00030A0D" w:rsidP="001D5629">
          <w:pPr>
            <w:rPr>
              <w:rFonts w:ascii="Garamond" w:hAnsi="Garamond" w:cstheme="majorBidi"/>
              <w:color w:val="000000" w:themeColor="text1"/>
            </w:rPr>
          </w:pPr>
          <w:r w:rsidRPr="0052632B">
            <w:rPr>
              <w:rFonts w:ascii="Garamond" w:hAnsi="Garamond" w:cstheme="majorBidi"/>
              <w:color w:val="000000" w:themeColor="text1"/>
            </w:rPr>
            <w:t>Chargée de cours : D</w:t>
          </w:r>
          <w:r w:rsidRPr="0052632B">
            <w:rPr>
              <w:rFonts w:ascii="Garamond" w:hAnsi="Garamond" w:cstheme="majorBidi"/>
              <w:color w:val="000000" w:themeColor="text1"/>
              <w:vertAlign w:val="superscript"/>
            </w:rPr>
            <w:t>r</w:t>
          </w:r>
          <w:r>
            <w:rPr>
              <w:rFonts w:ascii="Garamond" w:hAnsi="Garamond" w:cstheme="majorBidi"/>
              <w:color w:val="000000" w:themeColor="text1"/>
              <w:vertAlign w:val="superscript"/>
            </w:rPr>
            <w:t>e</w:t>
          </w:r>
          <w:r w:rsidRPr="0052632B">
            <w:rPr>
              <w:rFonts w:ascii="Garamond" w:hAnsi="Garamond" w:cstheme="majorBidi"/>
              <w:color w:val="000000" w:themeColor="text1"/>
            </w:rPr>
            <w:t xml:space="preserve"> Oumaima BENDAAMOUCHE</w:t>
          </w:r>
        </w:p>
        <w:p w:rsidR="00030A0D" w:rsidRPr="0052632B" w:rsidRDefault="00030A0D" w:rsidP="001D5629">
          <w:pPr>
            <w:pStyle w:val="En-tte"/>
            <w:rPr>
              <w:rFonts w:ascii="Garamond" w:hAnsi="Garamond" w:cstheme="majorBidi"/>
              <w:color w:val="000000" w:themeColor="text1"/>
            </w:rPr>
          </w:pPr>
          <w:r w:rsidRPr="0052632B">
            <w:rPr>
              <w:rFonts w:ascii="Garamond" w:eastAsia="MS Gothic" w:hAnsi="MS Gothic" w:cstheme="majorBidi"/>
              <w:color w:val="000000" w:themeColor="text1"/>
              <w:shd w:val="clear" w:color="auto" w:fill="FFFFFF"/>
            </w:rPr>
            <w:t>✉</w:t>
          </w:r>
          <w:r w:rsidRPr="0052632B">
            <w:rPr>
              <w:rFonts w:ascii="Garamond" w:hAnsi="Garamond" w:cstheme="majorBidi"/>
              <w:color w:val="000000" w:themeColor="text1"/>
            </w:rPr>
            <w:t xml:space="preserve">bendaamouche.oumaima@yahoo.com </w:t>
          </w:r>
        </w:p>
      </w:tc>
    </w:tr>
    <w:tr w:rsidR="00030A0D" w:rsidRPr="00570D71" w:rsidTr="00030A0D">
      <w:trPr>
        <w:trHeight w:val="302"/>
      </w:trPr>
      <w:tc>
        <w:tcPr>
          <w:tcW w:w="2358" w:type="dxa"/>
          <w:hideMark/>
        </w:tcPr>
        <w:p w:rsidR="00030A0D" w:rsidRPr="0052632B" w:rsidRDefault="00030A0D"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Module : FLE</w:t>
          </w:r>
        </w:p>
      </w:tc>
      <w:tc>
        <w:tcPr>
          <w:tcW w:w="2374" w:type="dxa"/>
          <w:hideMark/>
        </w:tcPr>
        <w:p w:rsidR="00030A0D" w:rsidRPr="0052632B" w:rsidRDefault="00030A0D"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Niveau : L1 </w:t>
          </w:r>
        </w:p>
      </w:tc>
      <w:tc>
        <w:tcPr>
          <w:tcW w:w="1755" w:type="dxa"/>
          <w:gridSpan w:val="2"/>
          <w:hideMark/>
        </w:tcPr>
        <w:p w:rsidR="00030A0D" w:rsidRPr="0052632B" w:rsidRDefault="00030A0D" w:rsidP="001D5629">
          <w:pPr>
            <w:spacing w:line="276" w:lineRule="auto"/>
            <w:rPr>
              <w:rFonts w:ascii="Garamond" w:hAnsi="Garamond" w:cstheme="majorBidi"/>
              <w:color w:val="000000" w:themeColor="text1"/>
            </w:rPr>
          </w:pPr>
          <w:r w:rsidRPr="0052632B">
            <w:rPr>
              <w:rFonts w:ascii="Garamond" w:hAnsi="Garamond" w:cstheme="majorBidi"/>
              <w:color w:val="000000" w:themeColor="text1"/>
            </w:rPr>
            <w:t>Section</w:t>
          </w:r>
          <w:r>
            <w:rPr>
              <w:rFonts w:ascii="Garamond" w:hAnsi="Garamond" w:cstheme="majorBidi"/>
              <w:color w:val="000000" w:themeColor="text1"/>
            </w:rPr>
            <w:t>s</w:t>
          </w:r>
          <w:r w:rsidRPr="0052632B">
            <w:rPr>
              <w:rFonts w:ascii="Garamond" w:hAnsi="Garamond" w:cstheme="majorBidi"/>
              <w:color w:val="000000" w:themeColor="text1"/>
            </w:rPr>
            <w:t> : A-B</w:t>
          </w:r>
          <w:r>
            <w:rPr>
              <w:rFonts w:ascii="Garamond" w:hAnsi="Garamond" w:cstheme="majorBidi"/>
              <w:color w:val="000000" w:themeColor="text1"/>
            </w:rPr>
            <w:t>-C</w:t>
          </w:r>
        </w:p>
      </w:tc>
      <w:tc>
        <w:tcPr>
          <w:tcW w:w="4194" w:type="dxa"/>
          <w:hideMark/>
        </w:tcPr>
        <w:p w:rsidR="00030A0D" w:rsidRPr="0052632B" w:rsidRDefault="00030A0D" w:rsidP="00030A0D">
          <w:pPr>
            <w:pStyle w:val="En-tte"/>
            <w:spacing w:line="276" w:lineRule="auto"/>
            <w:rPr>
              <w:rFonts w:ascii="Garamond" w:hAnsi="Garamond" w:cstheme="majorBidi"/>
              <w:color w:val="000000" w:themeColor="text1"/>
            </w:rPr>
          </w:pPr>
          <w:r>
            <w:rPr>
              <w:rFonts w:ascii="Garamond" w:hAnsi="Garamond" w:cstheme="majorBidi"/>
              <w:color w:val="000000" w:themeColor="text1"/>
            </w:rPr>
            <w:t>Cours N°…</w:t>
          </w:r>
          <w:r w:rsidRPr="0052632B">
            <w:rPr>
              <w:rFonts w:ascii="Garamond" w:hAnsi="Garamond" w:cstheme="majorBidi"/>
              <w:color w:val="000000" w:themeColor="text1"/>
            </w:rPr>
            <w:t xml:space="preserve"> : </w:t>
          </w:r>
          <w:r>
            <w:rPr>
              <w:rFonts w:ascii="Garamond" w:hAnsi="Garamond" w:cstheme="majorBidi"/>
              <w:color w:val="000000" w:themeColor="text1"/>
            </w:rPr>
            <w:t xml:space="preserve"> l’expression de la conséquence </w:t>
          </w:r>
        </w:p>
      </w:tc>
    </w:tr>
    <w:tr w:rsidR="00030A0D" w:rsidRPr="00570D71" w:rsidTr="001D5629">
      <w:trPr>
        <w:trHeight w:val="484"/>
      </w:trPr>
      <w:tc>
        <w:tcPr>
          <w:tcW w:w="10681" w:type="dxa"/>
          <w:gridSpan w:val="5"/>
          <w:hideMark/>
        </w:tcPr>
        <w:p w:rsidR="00030A0D" w:rsidRPr="0052632B" w:rsidRDefault="00030A0D"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Remarque(s) : </w:t>
          </w:r>
        </w:p>
        <w:p w:rsidR="00030A0D" w:rsidRPr="0052632B" w:rsidRDefault="00030A0D" w:rsidP="001D5629">
          <w:pPr>
            <w:pStyle w:val="En-tte"/>
            <w:rPr>
              <w:rFonts w:ascii="Garamond" w:hAnsi="Garamond" w:cstheme="majorBidi"/>
              <w:color w:val="000000" w:themeColor="text1"/>
            </w:rPr>
          </w:pPr>
          <w:r w:rsidRPr="0052632B">
            <w:rPr>
              <w:rFonts w:ascii="Garamond" w:hAnsi="Garamond" w:cstheme="majorBidi"/>
              <w:color w:val="000000" w:themeColor="text1"/>
            </w:rPr>
            <w:t>……………………………………………………………………………………………………………………………</w:t>
          </w:r>
        </w:p>
      </w:tc>
    </w:tr>
  </w:tbl>
  <w:p w:rsidR="00E776CF" w:rsidRDefault="00E776C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CF" w:rsidRDefault="00E776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F16"/>
    <w:multiLevelType w:val="hybridMultilevel"/>
    <w:tmpl w:val="1872398C"/>
    <w:lvl w:ilvl="0" w:tplc="F32212AE">
      <w:start w:val="1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6517EC"/>
    <w:multiLevelType w:val="multilevel"/>
    <w:tmpl w:val="CEBE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67D44"/>
    <w:multiLevelType w:val="multilevel"/>
    <w:tmpl w:val="B7A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64B8A"/>
    <w:multiLevelType w:val="multilevel"/>
    <w:tmpl w:val="832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22888"/>
    <w:multiLevelType w:val="hybridMultilevel"/>
    <w:tmpl w:val="2F263508"/>
    <w:lvl w:ilvl="0" w:tplc="040C0005">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EA32DA"/>
    <w:multiLevelType w:val="multilevel"/>
    <w:tmpl w:val="239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36A16"/>
    <w:multiLevelType w:val="multilevel"/>
    <w:tmpl w:val="225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81CDB"/>
    <w:multiLevelType w:val="multilevel"/>
    <w:tmpl w:val="8DE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A0C3B"/>
    <w:multiLevelType w:val="multilevel"/>
    <w:tmpl w:val="C3B2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8"/>
  </w:num>
  <w:num w:numId="6">
    <w:abstractNumId w:val="1"/>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2530E"/>
    <w:rsid w:val="00030A0D"/>
    <w:rsid w:val="000D204D"/>
    <w:rsid w:val="00375F91"/>
    <w:rsid w:val="00431E52"/>
    <w:rsid w:val="00B331CB"/>
    <w:rsid w:val="00BB5EA7"/>
    <w:rsid w:val="00D2530E"/>
    <w:rsid w:val="00E6737D"/>
    <w:rsid w:val="00E776CF"/>
    <w:rsid w:val="00E90E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5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31E52"/>
    <w:pPr>
      <w:ind w:left="720"/>
      <w:contextualSpacing/>
    </w:pPr>
  </w:style>
  <w:style w:type="paragraph" w:styleId="En-tte">
    <w:name w:val="header"/>
    <w:basedOn w:val="Normal"/>
    <w:link w:val="En-tteCar"/>
    <w:uiPriority w:val="99"/>
    <w:unhideWhenUsed/>
    <w:rsid w:val="00E776CF"/>
    <w:pPr>
      <w:tabs>
        <w:tab w:val="center" w:pos="4536"/>
        <w:tab w:val="right" w:pos="9072"/>
      </w:tabs>
      <w:spacing w:after="0" w:line="240" w:lineRule="auto"/>
    </w:pPr>
  </w:style>
  <w:style w:type="character" w:customStyle="1" w:styleId="En-tteCar">
    <w:name w:val="En-tête Car"/>
    <w:basedOn w:val="Policepardfaut"/>
    <w:link w:val="En-tte"/>
    <w:uiPriority w:val="99"/>
    <w:rsid w:val="00E776CF"/>
  </w:style>
  <w:style w:type="paragraph" w:styleId="Pieddepage">
    <w:name w:val="footer"/>
    <w:basedOn w:val="Normal"/>
    <w:link w:val="PieddepageCar"/>
    <w:uiPriority w:val="99"/>
    <w:semiHidden/>
    <w:unhideWhenUsed/>
    <w:rsid w:val="00E776C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7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2024-05-11T17:37:00Z</dcterms:created>
  <dcterms:modified xsi:type="dcterms:W3CDTF">2024-05-11T17:37:00Z</dcterms:modified>
</cp:coreProperties>
</file>