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8B" w:rsidRPr="005E6BB1" w:rsidRDefault="00BC638B" w:rsidP="00C7589F">
      <w:pPr>
        <w:bidi/>
        <w:jc w:val="both"/>
        <w:rPr>
          <w:rFonts w:ascii="Simplified Arabic" w:hAnsi="Simplified Arabic" w:cs="Simplified Arabic"/>
          <w:b/>
          <w:bCs/>
          <w:color w:val="000000" w:themeColor="text1"/>
          <w:sz w:val="32"/>
          <w:szCs w:val="32"/>
          <w:u w:val="single"/>
          <w:rtl/>
        </w:rPr>
      </w:pPr>
      <w:r w:rsidRPr="005E6BB1">
        <w:rPr>
          <w:rFonts w:ascii="Simplified Arabic" w:hAnsi="Simplified Arabic" w:cs="Simplified Arabic"/>
          <w:b/>
          <w:bCs/>
          <w:color w:val="000000" w:themeColor="text1"/>
          <w:sz w:val="32"/>
          <w:szCs w:val="32"/>
          <w:u w:val="single"/>
          <w:rtl/>
        </w:rPr>
        <w:t xml:space="preserve">المحاضرة الثانية </w:t>
      </w:r>
      <w:r w:rsidR="00C7589F">
        <w:rPr>
          <w:rFonts w:ascii="Simplified Arabic" w:hAnsi="Simplified Arabic" w:cs="Simplified Arabic" w:hint="cs"/>
          <w:b/>
          <w:bCs/>
          <w:color w:val="000000" w:themeColor="text1"/>
          <w:sz w:val="32"/>
          <w:szCs w:val="32"/>
          <w:u w:val="single"/>
          <w:rtl/>
        </w:rPr>
        <w:t xml:space="preserve">: الخطابة </w:t>
      </w:r>
    </w:p>
    <w:p w:rsidR="001E0BA6" w:rsidRPr="00F44F82" w:rsidRDefault="00F44F82" w:rsidP="005E6BB1">
      <w:pPr>
        <w:bidi/>
        <w:spacing w:after="0"/>
        <w:jc w:val="both"/>
        <w:rPr>
          <w:rFonts w:ascii="Simplified Arabic" w:eastAsia="Times New Roman" w:hAnsi="Simplified Arabic" w:cs="Simplified Arabic"/>
          <w:color w:val="FF0000"/>
          <w:sz w:val="32"/>
          <w:szCs w:val="32"/>
          <w:rtl/>
        </w:rPr>
      </w:pPr>
      <w:r w:rsidRPr="00F44F82">
        <w:rPr>
          <w:rFonts w:ascii="Simplified Arabic" w:eastAsia="Times New Roman" w:hAnsi="Simplified Arabic" w:cs="Simplified Arabic" w:hint="cs"/>
          <w:b/>
          <w:bCs/>
          <w:color w:val="FF0000"/>
          <w:sz w:val="32"/>
          <w:szCs w:val="32"/>
          <w:u w:val="single"/>
          <w:rtl/>
        </w:rPr>
        <w:t>أولا :</w:t>
      </w:r>
      <w:r w:rsidR="00BC638B" w:rsidRPr="00F44F82">
        <w:rPr>
          <w:rFonts w:ascii="Simplified Arabic" w:eastAsia="Times New Roman" w:hAnsi="Simplified Arabic" w:cs="Simplified Arabic"/>
          <w:b/>
          <w:bCs/>
          <w:color w:val="FF0000"/>
          <w:sz w:val="32"/>
          <w:szCs w:val="32"/>
          <w:u w:val="single"/>
          <w:rtl/>
        </w:rPr>
        <w:t xml:space="preserve">مفهوم الخطبة </w:t>
      </w:r>
    </w:p>
    <w:p w:rsidR="00BB6EAF" w:rsidRPr="005E6BB1" w:rsidRDefault="00BB6EAF"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hAnsi="Simplified Arabic" w:cs="Simplified Arabic"/>
          <w:color w:val="000000" w:themeColor="text1"/>
          <w:sz w:val="32"/>
          <w:szCs w:val="32"/>
          <w:rtl/>
        </w:rPr>
        <w:t>الخطابة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اللغة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هي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مراجعة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الكلام</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وهي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الكلام</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المنثور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المسجع</w:t>
      </w:r>
      <w:r w:rsidRPr="005E6BB1">
        <w:rPr>
          <w:rStyle w:val="Appelnotedebasdep"/>
          <w:rFonts w:ascii="Simplified Arabic" w:hAnsi="Simplified Arabic" w:cs="Simplified Arabic"/>
          <w:color w:val="000000" w:themeColor="text1"/>
          <w:sz w:val="32"/>
          <w:szCs w:val="32"/>
          <w:rtl/>
        </w:rPr>
        <w:footnoteReference w:id="2"/>
      </w:r>
      <w:r w:rsidR="00BC638B" w:rsidRPr="005E6BB1">
        <w:rPr>
          <w:rFonts w:ascii="Simplified Arabic" w:eastAsia="Times New Roman" w:hAnsi="Simplified Arabic" w:cs="Simplified Arabic"/>
          <w:color w:val="000000" w:themeColor="text1"/>
          <w:sz w:val="32"/>
          <w:szCs w:val="32"/>
          <w:rtl/>
        </w:rPr>
        <w:t xml:space="preserve"> </w:t>
      </w:r>
      <w:r w:rsidRPr="005E6BB1">
        <w:rPr>
          <w:rFonts w:ascii="Simplified Arabic" w:eastAsia="Times New Roman" w:hAnsi="Simplified Arabic" w:cs="Simplified Arabic"/>
          <w:color w:val="000000" w:themeColor="text1"/>
          <w:sz w:val="32"/>
          <w:szCs w:val="32"/>
          <w:rtl/>
        </w:rPr>
        <w:t xml:space="preserve">، وهي </w:t>
      </w:r>
      <w:r w:rsidR="00BC638B" w:rsidRPr="005E6BB1">
        <w:rPr>
          <w:rFonts w:ascii="Simplified Arabic" w:eastAsia="Times New Roman" w:hAnsi="Simplified Arabic" w:cs="Simplified Arabic"/>
          <w:color w:val="000000" w:themeColor="text1"/>
          <w:sz w:val="32"/>
          <w:szCs w:val="32"/>
          <w:rtl/>
        </w:rPr>
        <w:t>فن مخاطبة الجماهير، بغية الإقناع والإمتاع، بكلام بليغ وجيز. فهي قطعة من النثر الرفيع، قد تطول أو تقصر حسب الحاجة لها. وهي من أقدم فنون النثر، لأنها تعتمد ع</w:t>
      </w:r>
      <w:r w:rsidR="001E0BA6" w:rsidRPr="005E6BB1">
        <w:rPr>
          <w:rFonts w:ascii="Simplified Arabic" w:eastAsia="Times New Roman" w:hAnsi="Simplified Arabic" w:cs="Simplified Arabic"/>
          <w:color w:val="000000" w:themeColor="text1"/>
          <w:sz w:val="32"/>
          <w:szCs w:val="32"/>
          <w:rtl/>
        </w:rPr>
        <w:t>لى</w:t>
      </w:r>
      <w:r w:rsidR="00BC638B" w:rsidRPr="005E6BB1">
        <w:rPr>
          <w:rFonts w:ascii="Simplified Arabic" w:eastAsia="Times New Roman" w:hAnsi="Simplified Arabic" w:cs="Simplified Arabic"/>
          <w:color w:val="000000" w:themeColor="text1"/>
          <w:sz w:val="32"/>
          <w:szCs w:val="32"/>
          <w:rtl/>
        </w:rPr>
        <w:t xml:space="preserve"> المشافهة، لأنها فن مخاطبة الجمهور بأسلوب يعتمد على الاستمالة وعلى إثارة عواطف السامعين، وجذب انتباههم وتحريك مشاعرهم، وذلك يقتضي من الخطيب </w:t>
      </w:r>
      <w:r w:rsidR="00BC638B" w:rsidRPr="005E6BB1">
        <w:rPr>
          <w:rFonts w:ascii="Simplified Arabic" w:eastAsia="Times New Roman" w:hAnsi="Simplified Arabic" w:cs="Simplified Arabic"/>
          <w:b/>
          <w:bCs/>
          <w:color w:val="000000" w:themeColor="text1"/>
          <w:sz w:val="32"/>
          <w:szCs w:val="32"/>
          <w:rtl/>
        </w:rPr>
        <w:t>تنوع الأسلوب، وجودة الإلقاء وتحسين الصوت ونطق الإشارة. أما الإقناع فيقوم عل</w:t>
      </w:r>
      <w:r w:rsidR="001E0BA6" w:rsidRPr="005E6BB1">
        <w:rPr>
          <w:rFonts w:ascii="Simplified Arabic" w:eastAsia="Times New Roman" w:hAnsi="Simplified Arabic" w:cs="Simplified Arabic"/>
          <w:b/>
          <w:bCs/>
          <w:color w:val="000000" w:themeColor="text1"/>
          <w:sz w:val="32"/>
          <w:szCs w:val="32"/>
          <w:rtl/>
        </w:rPr>
        <w:t>ى</w:t>
      </w:r>
      <w:r w:rsidR="00BC638B" w:rsidRPr="005E6BB1">
        <w:rPr>
          <w:rFonts w:ascii="Simplified Arabic" w:eastAsia="Times New Roman" w:hAnsi="Simplified Arabic" w:cs="Simplified Arabic"/>
          <w:b/>
          <w:bCs/>
          <w:color w:val="000000" w:themeColor="text1"/>
          <w:sz w:val="32"/>
          <w:szCs w:val="32"/>
          <w:rtl/>
        </w:rPr>
        <w:t xml:space="preserve"> مخاطبة العقل، وذلك يقتضي من الخطيب ضرب الأمثلة وتقديم الأدلة والبراهين التي تقنع السامعين</w:t>
      </w:r>
      <w:r w:rsidR="00BC638B" w:rsidRPr="005E6BB1">
        <w:rPr>
          <w:rFonts w:ascii="Simplified Arabic" w:eastAsia="Times New Roman" w:hAnsi="Simplified Arabic" w:cs="Simplified Arabic"/>
          <w:color w:val="000000" w:themeColor="text1"/>
          <w:sz w:val="32"/>
          <w:szCs w:val="32"/>
          <w:rtl/>
        </w:rPr>
        <w:t>.</w:t>
      </w:r>
    </w:p>
    <w:p w:rsidR="005E6BB1" w:rsidRPr="00F44F82" w:rsidRDefault="00F44F82" w:rsidP="005E6BB1">
      <w:pPr>
        <w:bidi/>
        <w:spacing w:after="0"/>
        <w:jc w:val="both"/>
        <w:rPr>
          <w:rFonts w:ascii="Simplified Arabic" w:eastAsia="Times New Roman" w:hAnsi="Simplified Arabic" w:cs="Simplified Arabic"/>
          <w:b/>
          <w:bCs/>
          <w:color w:val="FF0000"/>
          <w:sz w:val="32"/>
          <w:szCs w:val="32"/>
          <w:rtl/>
        </w:rPr>
      </w:pPr>
      <w:r>
        <w:rPr>
          <w:rFonts w:ascii="Simplified Arabic" w:eastAsia="Times New Roman" w:hAnsi="Simplified Arabic" w:cs="Simplified Arabic" w:hint="cs"/>
          <w:color w:val="FF0000"/>
          <w:sz w:val="32"/>
          <w:szCs w:val="32"/>
          <w:rtl/>
        </w:rPr>
        <w:t>ثانيا:</w:t>
      </w:r>
      <w:r w:rsidR="00BC638B" w:rsidRPr="00F44F82">
        <w:rPr>
          <w:rFonts w:ascii="Simplified Arabic" w:eastAsia="Times New Roman" w:hAnsi="Simplified Arabic" w:cs="Simplified Arabic"/>
          <w:color w:val="FF0000"/>
          <w:sz w:val="32"/>
          <w:szCs w:val="32"/>
          <w:rtl/>
        </w:rPr>
        <w:t xml:space="preserve"> </w:t>
      </w:r>
      <w:r>
        <w:rPr>
          <w:rFonts w:ascii="Simplified Arabic" w:eastAsia="Times New Roman" w:hAnsi="Simplified Arabic" w:cs="Simplified Arabic"/>
          <w:b/>
          <w:bCs/>
          <w:color w:val="FF0000"/>
          <w:sz w:val="32"/>
          <w:szCs w:val="32"/>
          <w:rtl/>
        </w:rPr>
        <w:t>أقسام أو أجزاء الخطبة</w:t>
      </w:r>
    </w:p>
    <w:p w:rsidR="005E6BB1" w:rsidRPr="005E6BB1" w:rsidRDefault="00BC638B"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t xml:space="preserve"> للخطبة أجزاء ثلاثة هي (المقدمة</w:t>
      </w:r>
      <w:r w:rsidRPr="005E6BB1">
        <w:rPr>
          <w:rFonts w:ascii="Simplified Arabic" w:eastAsia="Times New Roman" w:hAnsi="Simplified Arabic" w:cs="Simplified Arabic"/>
          <w:color w:val="000000" w:themeColor="text1"/>
          <w:sz w:val="32"/>
          <w:szCs w:val="32"/>
        </w:rPr>
        <w:t xml:space="preserve"> – </w:t>
      </w:r>
      <w:r w:rsidRPr="005E6BB1">
        <w:rPr>
          <w:rFonts w:ascii="Simplified Arabic" w:eastAsia="Times New Roman" w:hAnsi="Simplified Arabic" w:cs="Simplified Arabic"/>
          <w:color w:val="000000" w:themeColor="text1"/>
          <w:sz w:val="32"/>
          <w:szCs w:val="32"/>
          <w:rtl/>
        </w:rPr>
        <w:t>والموضوع – والخاتمة).</w:t>
      </w:r>
    </w:p>
    <w:p w:rsidR="005E6BB1" w:rsidRPr="00F44F82" w:rsidRDefault="00F44F82" w:rsidP="005E6BB1">
      <w:pPr>
        <w:bidi/>
        <w:spacing w:after="0"/>
        <w:jc w:val="both"/>
        <w:rPr>
          <w:rFonts w:ascii="Simplified Arabic" w:eastAsia="Times New Roman" w:hAnsi="Simplified Arabic" w:cs="Simplified Arabic"/>
          <w:color w:val="FF0000"/>
          <w:sz w:val="32"/>
          <w:szCs w:val="32"/>
          <w:rtl/>
        </w:rPr>
      </w:pPr>
      <w:r>
        <w:rPr>
          <w:rFonts w:ascii="Simplified Arabic" w:eastAsia="Times New Roman" w:hAnsi="Simplified Arabic" w:cs="Simplified Arabic" w:hint="cs"/>
          <w:b/>
          <w:bCs/>
          <w:color w:val="FF0000"/>
          <w:sz w:val="32"/>
          <w:szCs w:val="32"/>
          <w:rtl/>
        </w:rPr>
        <w:t>ثالثا :</w:t>
      </w:r>
      <w:r w:rsidR="00BC638B" w:rsidRPr="00F44F82">
        <w:rPr>
          <w:rFonts w:ascii="Simplified Arabic" w:eastAsia="Times New Roman" w:hAnsi="Simplified Arabic" w:cs="Simplified Arabic"/>
          <w:b/>
          <w:bCs/>
          <w:color w:val="FF0000"/>
          <w:sz w:val="32"/>
          <w:szCs w:val="32"/>
          <w:rtl/>
        </w:rPr>
        <w:t xml:space="preserve"> أهداف الخطبة</w:t>
      </w:r>
    </w:p>
    <w:p w:rsidR="00BC638B" w:rsidRPr="005E6BB1" w:rsidRDefault="00BC638B"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t xml:space="preserve"> الإفهام والإقناع والإمتاع والاستمالة. وللخطابة مميزات تمتاز بها عن غيرها من الفنون، لذلك لا نستغرب أن يتحدث الجاحظ عن وجودها، ومنها: </w:t>
      </w:r>
      <w:r w:rsidR="005E6BB1" w:rsidRPr="005E6BB1">
        <w:rPr>
          <w:rFonts w:ascii="Simplified Arabic" w:eastAsia="Times New Roman" w:hAnsi="Simplified Arabic" w:cs="Simplified Arabic"/>
          <w:color w:val="000000" w:themeColor="text1"/>
          <w:sz w:val="32"/>
          <w:szCs w:val="32"/>
          <w:rtl/>
        </w:rPr>
        <w:t>ال</w:t>
      </w:r>
      <w:r w:rsidRPr="005E6BB1">
        <w:rPr>
          <w:rFonts w:ascii="Simplified Arabic" w:eastAsia="Times New Roman" w:hAnsi="Simplified Arabic" w:cs="Simplified Arabic"/>
          <w:color w:val="000000" w:themeColor="text1"/>
          <w:sz w:val="32"/>
          <w:szCs w:val="32"/>
          <w:rtl/>
        </w:rPr>
        <w:t xml:space="preserve">تقاليد </w:t>
      </w:r>
      <w:r w:rsidR="005E6BB1" w:rsidRPr="005E6BB1">
        <w:rPr>
          <w:rFonts w:ascii="Simplified Arabic" w:eastAsia="Times New Roman" w:hAnsi="Simplified Arabic" w:cs="Simplified Arabic"/>
          <w:color w:val="000000" w:themeColor="text1"/>
          <w:sz w:val="32"/>
          <w:szCs w:val="32"/>
          <w:rtl/>
        </w:rPr>
        <w:t>ال</w:t>
      </w:r>
      <w:r w:rsidRPr="005E6BB1">
        <w:rPr>
          <w:rFonts w:ascii="Simplified Arabic" w:eastAsia="Times New Roman" w:hAnsi="Simplified Arabic" w:cs="Simplified Arabic"/>
          <w:color w:val="000000" w:themeColor="text1"/>
          <w:sz w:val="32"/>
          <w:szCs w:val="32"/>
          <w:rtl/>
        </w:rPr>
        <w:t>فنية، و</w:t>
      </w:r>
      <w:r w:rsidR="005E6BB1" w:rsidRPr="005E6BB1">
        <w:rPr>
          <w:rFonts w:ascii="Simplified Arabic" w:eastAsia="Times New Roman" w:hAnsi="Simplified Arabic" w:cs="Simplified Arabic"/>
          <w:color w:val="000000" w:themeColor="text1"/>
          <w:sz w:val="32"/>
          <w:szCs w:val="32"/>
          <w:rtl/>
        </w:rPr>
        <w:t>ال</w:t>
      </w:r>
      <w:r w:rsidRPr="005E6BB1">
        <w:rPr>
          <w:rFonts w:ascii="Simplified Arabic" w:eastAsia="Times New Roman" w:hAnsi="Simplified Arabic" w:cs="Simplified Arabic"/>
          <w:color w:val="000000" w:themeColor="text1"/>
          <w:sz w:val="32"/>
          <w:szCs w:val="32"/>
          <w:rtl/>
        </w:rPr>
        <w:t xml:space="preserve">بنيوية، وسمات. لها زي معين وهيأة تمثيلية للخطيب، وأصول في المعاملة. كما أنها تستدعي احتشاد الناس من وجهاء القوم. لها أماكن إلقاء هي نفسها أماكن التجمعات الكبرى </w:t>
      </w:r>
      <w:r w:rsidRPr="005E6BB1">
        <w:rPr>
          <w:rFonts w:ascii="Simplified Arabic" w:eastAsia="Times New Roman" w:hAnsi="Simplified Arabic" w:cs="Simplified Arabic"/>
          <w:color w:val="000000" w:themeColor="text1"/>
          <w:sz w:val="32"/>
          <w:szCs w:val="32"/>
        </w:rPr>
        <w:t>(</w:t>
      </w:r>
      <w:r w:rsidRPr="005E6BB1">
        <w:rPr>
          <w:rFonts w:ascii="Simplified Arabic" w:eastAsia="Times New Roman" w:hAnsi="Simplified Arabic" w:cs="Simplified Arabic"/>
          <w:color w:val="000000" w:themeColor="text1"/>
          <w:sz w:val="32"/>
          <w:szCs w:val="32"/>
          <w:rtl/>
        </w:rPr>
        <w:t xml:space="preserve">مضارب الخيام، ساحات النزول، مجالس </w:t>
      </w:r>
      <w:r w:rsidR="005E6BB1" w:rsidRPr="005E6BB1">
        <w:rPr>
          <w:rFonts w:ascii="Simplified Arabic" w:eastAsia="Times New Roman" w:hAnsi="Simplified Arabic" w:cs="Simplified Arabic"/>
          <w:color w:val="000000" w:themeColor="text1"/>
          <w:sz w:val="32"/>
          <w:szCs w:val="32"/>
          <w:rtl/>
        </w:rPr>
        <w:t>السمر</w:t>
      </w:r>
      <w:r w:rsidRPr="005E6BB1">
        <w:rPr>
          <w:rFonts w:ascii="Simplified Arabic" w:eastAsia="Times New Roman" w:hAnsi="Simplified Arabic" w:cs="Simplified Arabic"/>
          <w:color w:val="000000" w:themeColor="text1"/>
          <w:sz w:val="32"/>
          <w:szCs w:val="32"/>
          <w:rtl/>
        </w:rPr>
        <w:t>، الأسواق).</w:t>
      </w:r>
    </w:p>
    <w:p w:rsidR="005E6BB1" w:rsidRPr="00F44F82" w:rsidRDefault="00BC638B" w:rsidP="005E6BB1">
      <w:pPr>
        <w:bidi/>
        <w:spacing w:after="0"/>
        <w:jc w:val="both"/>
        <w:rPr>
          <w:rFonts w:ascii="Simplified Arabic" w:eastAsia="Times New Roman" w:hAnsi="Simplified Arabic" w:cs="Simplified Arabic"/>
          <w:b/>
          <w:bCs/>
          <w:color w:val="FF0000"/>
          <w:sz w:val="32"/>
          <w:szCs w:val="32"/>
          <w:u w:val="single"/>
          <w:rtl/>
        </w:rPr>
      </w:pPr>
      <w:r w:rsidRPr="00F44F82">
        <w:rPr>
          <w:rFonts w:ascii="Simplified Arabic" w:eastAsia="Times New Roman" w:hAnsi="Simplified Arabic" w:cs="Simplified Arabic"/>
          <w:color w:val="FF0000"/>
          <w:sz w:val="32"/>
          <w:szCs w:val="32"/>
          <w:rtl/>
        </w:rPr>
        <w:t xml:space="preserve"> </w:t>
      </w:r>
      <w:r w:rsidR="00F44F82" w:rsidRPr="00F44F82">
        <w:rPr>
          <w:rFonts w:ascii="Simplified Arabic" w:eastAsia="Times New Roman" w:hAnsi="Simplified Arabic" w:cs="Simplified Arabic" w:hint="cs"/>
          <w:color w:val="FF0000"/>
          <w:sz w:val="32"/>
          <w:szCs w:val="32"/>
          <w:rtl/>
        </w:rPr>
        <w:t xml:space="preserve">رابعا: </w:t>
      </w:r>
      <w:r w:rsidRPr="00F44F82">
        <w:rPr>
          <w:rFonts w:ascii="Simplified Arabic" w:eastAsia="Times New Roman" w:hAnsi="Simplified Arabic" w:cs="Simplified Arabic"/>
          <w:b/>
          <w:bCs/>
          <w:color w:val="FF0000"/>
          <w:sz w:val="32"/>
          <w:szCs w:val="32"/>
          <w:u w:val="single"/>
          <w:rtl/>
        </w:rPr>
        <w:t>خصائص أسلوب الخطبة</w:t>
      </w:r>
    </w:p>
    <w:p w:rsidR="00BC638B" w:rsidRPr="005E6BB1" w:rsidRDefault="00BC638B" w:rsidP="005E6BB1">
      <w:pPr>
        <w:bidi/>
        <w:spacing w:after="0"/>
        <w:jc w:val="both"/>
        <w:rPr>
          <w:rFonts w:ascii="Simplified Arabic" w:eastAsia="Times New Roman" w:hAnsi="Simplified Arabic" w:cs="Simplified Arabic"/>
          <w:color w:val="000000" w:themeColor="text1"/>
          <w:sz w:val="32"/>
          <w:szCs w:val="32"/>
        </w:rPr>
      </w:pPr>
      <w:r w:rsidRPr="005E6BB1">
        <w:rPr>
          <w:rFonts w:ascii="Simplified Arabic" w:eastAsia="Times New Roman" w:hAnsi="Simplified Arabic" w:cs="Simplified Arabic"/>
          <w:color w:val="000000" w:themeColor="text1"/>
          <w:sz w:val="32"/>
          <w:szCs w:val="32"/>
          <w:rtl/>
        </w:rPr>
        <w:t>قصر الجمل والفقرات. جودة العبار</w:t>
      </w:r>
      <w:r w:rsidR="005E6BB1" w:rsidRPr="005E6BB1">
        <w:rPr>
          <w:rFonts w:ascii="Simplified Arabic" w:eastAsia="Times New Roman" w:hAnsi="Simplified Arabic" w:cs="Simplified Arabic"/>
          <w:color w:val="000000" w:themeColor="text1"/>
          <w:sz w:val="32"/>
          <w:szCs w:val="32"/>
          <w:rtl/>
        </w:rPr>
        <w:t>ات</w:t>
      </w:r>
      <w:r w:rsidRPr="005E6BB1">
        <w:rPr>
          <w:rFonts w:ascii="Simplified Arabic" w:eastAsia="Times New Roman" w:hAnsi="Simplified Arabic" w:cs="Simplified Arabic"/>
          <w:color w:val="000000" w:themeColor="text1"/>
          <w:sz w:val="32"/>
          <w:szCs w:val="32"/>
          <w:rtl/>
        </w:rPr>
        <w:t xml:space="preserve"> والمعاني. شدة الإقناع والتأثير. السهولة ووضوح الفكرة.  جمال التعبير وسلامة الألفاظ. التنويع في الأسلوب ما بين الإنشائي والخبري. قلة الصور البيانية. الإكثار من السجع غير المكلف. </w:t>
      </w:r>
    </w:p>
    <w:p w:rsidR="005E6BB1" w:rsidRPr="005E6BB1" w:rsidRDefault="00BC638B"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lastRenderedPageBreak/>
        <w:t xml:space="preserve">أسباب ازدهار الخطبة في العصر الجاهلي: ازدهرت الخطبة لاكتمال عوامل ازدهارها ورقيها وهي: </w:t>
      </w:r>
    </w:p>
    <w:p w:rsidR="00BC638B" w:rsidRPr="005E6BB1" w:rsidRDefault="00BC638B"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t>1 - حرية القول.</w:t>
      </w:r>
    </w:p>
    <w:p w:rsidR="00BC638B" w:rsidRPr="005E6BB1" w:rsidRDefault="00BC638B" w:rsidP="005E6BB1">
      <w:pPr>
        <w:bidi/>
        <w:spacing w:after="0"/>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t xml:space="preserve"> 2 - دواعي الخطابة كالحرب والصلح والمغامرات. </w:t>
      </w:r>
    </w:p>
    <w:p w:rsidR="005E6BB1" w:rsidRPr="005E6BB1" w:rsidRDefault="00BC638B" w:rsidP="005E6BB1">
      <w:pPr>
        <w:autoSpaceDE w:val="0"/>
        <w:autoSpaceDN w:val="0"/>
        <w:bidi/>
        <w:adjustRightInd w:val="0"/>
        <w:spacing w:after="0" w:line="240" w:lineRule="auto"/>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color w:val="000000" w:themeColor="text1"/>
          <w:sz w:val="32"/>
          <w:szCs w:val="32"/>
          <w:rtl/>
        </w:rPr>
        <w:t xml:space="preserve">3 </w:t>
      </w:r>
      <w:r w:rsidRPr="005E6BB1">
        <w:rPr>
          <w:rFonts w:ascii="Simplified Arabic" w:eastAsia="Times New Roman" w:hAnsi="Simplified Arabic" w:cs="Simplified Arabic"/>
          <w:color w:val="000000" w:themeColor="text1"/>
          <w:sz w:val="32"/>
          <w:szCs w:val="32"/>
        </w:rPr>
        <w:t xml:space="preserve">- </w:t>
      </w:r>
      <w:r w:rsidRPr="005E6BB1">
        <w:rPr>
          <w:rFonts w:ascii="Simplified Arabic" w:eastAsia="Times New Roman" w:hAnsi="Simplified Arabic" w:cs="Simplified Arabic"/>
          <w:color w:val="000000" w:themeColor="text1"/>
          <w:sz w:val="32"/>
          <w:szCs w:val="32"/>
          <w:rtl/>
        </w:rPr>
        <w:t>الفصاحة فكل العرب كانوا فصحاء. أنواع</w:t>
      </w:r>
      <w:r w:rsidR="005E6BB1" w:rsidRPr="005E6BB1">
        <w:rPr>
          <w:rFonts w:ascii="Simplified Arabic" w:eastAsia="Times New Roman" w:hAnsi="Simplified Arabic" w:cs="Simplified Arabic"/>
          <w:color w:val="000000" w:themeColor="text1"/>
          <w:sz w:val="32"/>
          <w:szCs w:val="32"/>
          <w:rtl/>
        </w:rPr>
        <w:t xml:space="preserve"> الخطابة: تختلف باختلاف الموضوع </w:t>
      </w:r>
      <w:r w:rsidRPr="005E6BB1">
        <w:rPr>
          <w:rFonts w:ascii="Simplified Arabic" w:eastAsia="Times New Roman" w:hAnsi="Simplified Arabic" w:cs="Simplified Arabic"/>
          <w:color w:val="000000" w:themeColor="text1"/>
          <w:sz w:val="32"/>
          <w:szCs w:val="32"/>
          <w:rtl/>
        </w:rPr>
        <w:t xml:space="preserve">والمضمون، منها: </w:t>
      </w:r>
      <w:r w:rsidRPr="005E6BB1">
        <w:rPr>
          <w:rFonts w:ascii="Simplified Arabic" w:eastAsia="Times New Roman" w:hAnsi="Simplified Arabic" w:cs="Simplified Arabic"/>
          <w:b/>
          <w:bCs/>
          <w:color w:val="000000" w:themeColor="text1"/>
          <w:sz w:val="32"/>
          <w:szCs w:val="32"/>
          <w:rtl/>
        </w:rPr>
        <w:t>الدينيـة:</w:t>
      </w:r>
      <w:r w:rsidRPr="005E6BB1">
        <w:rPr>
          <w:rFonts w:ascii="Simplified Arabic" w:eastAsia="Times New Roman" w:hAnsi="Simplified Arabic" w:cs="Simplified Arabic"/>
          <w:color w:val="000000" w:themeColor="text1"/>
          <w:sz w:val="32"/>
          <w:szCs w:val="32"/>
          <w:rtl/>
        </w:rPr>
        <w:t xml:space="preserve"> التي تعمد إلى الوعظ والإرشاد والتذكير والتفكير. السياسية: التي تستعمل لخدمة أغراض الدولة أو القبيلة</w:t>
      </w:r>
      <w:r w:rsidR="005E6BB1" w:rsidRPr="005E6BB1">
        <w:rPr>
          <w:rFonts w:ascii="Simplified Arabic" w:eastAsia="Times New Roman" w:hAnsi="Simplified Arabic" w:cs="Simplified Arabic"/>
          <w:color w:val="000000" w:themeColor="text1"/>
          <w:sz w:val="32"/>
          <w:szCs w:val="32"/>
          <w:rtl/>
        </w:rPr>
        <w:t>.</w:t>
      </w:r>
    </w:p>
    <w:p w:rsidR="005E6BB1" w:rsidRPr="005E6BB1" w:rsidRDefault="00BC638B" w:rsidP="005E6BB1">
      <w:pPr>
        <w:autoSpaceDE w:val="0"/>
        <w:autoSpaceDN w:val="0"/>
        <w:bidi/>
        <w:adjustRightInd w:val="0"/>
        <w:spacing w:after="0" w:line="240" w:lineRule="auto"/>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b/>
          <w:bCs/>
          <w:color w:val="000000" w:themeColor="text1"/>
          <w:sz w:val="32"/>
          <w:szCs w:val="32"/>
          <w:rtl/>
        </w:rPr>
        <w:t>الاجتماعية:</w:t>
      </w:r>
      <w:r w:rsidRPr="005E6BB1">
        <w:rPr>
          <w:rFonts w:ascii="Simplified Arabic" w:eastAsia="Times New Roman" w:hAnsi="Simplified Arabic" w:cs="Simplified Arabic"/>
          <w:color w:val="000000" w:themeColor="text1"/>
          <w:sz w:val="32"/>
          <w:szCs w:val="32"/>
          <w:rtl/>
        </w:rPr>
        <w:t xml:space="preserve"> التي تعالج قضايا المجتمع الداخلية، والعالقة منها من أمور الناس، كالزواج…. الحربية: التي تستعمل بغية إثارة الحماسة وتأجيج النفوس، وشد العزائم.</w:t>
      </w:r>
    </w:p>
    <w:p w:rsidR="00876B9B" w:rsidRPr="005E6BB1" w:rsidRDefault="00BC638B" w:rsidP="005E6BB1">
      <w:pPr>
        <w:autoSpaceDE w:val="0"/>
        <w:autoSpaceDN w:val="0"/>
        <w:bidi/>
        <w:adjustRightInd w:val="0"/>
        <w:spacing w:after="0" w:line="240" w:lineRule="auto"/>
        <w:jc w:val="both"/>
        <w:rPr>
          <w:rFonts w:ascii="Simplified Arabic" w:eastAsia="Times New Roman" w:hAnsi="Simplified Arabic" w:cs="Simplified Arabic"/>
          <w:color w:val="000000" w:themeColor="text1"/>
          <w:sz w:val="32"/>
          <w:szCs w:val="32"/>
          <w:rtl/>
        </w:rPr>
      </w:pPr>
      <w:r w:rsidRPr="005E6BB1">
        <w:rPr>
          <w:rFonts w:ascii="Simplified Arabic" w:eastAsia="Times New Roman" w:hAnsi="Simplified Arabic" w:cs="Simplified Arabic"/>
          <w:b/>
          <w:bCs/>
          <w:color w:val="000000" w:themeColor="text1"/>
          <w:sz w:val="32"/>
          <w:szCs w:val="32"/>
          <w:rtl/>
        </w:rPr>
        <w:t xml:space="preserve"> قضائية:</w:t>
      </w:r>
      <w:r w:rsidRPr="005E6BB1">
        <w:rPr>
          <w:rFonts w:ascii="Simplified Arabic" w:eastAsia="Times New Roman" w:hAnsi="Simplified Arabic" w:cs="Simplified Arabic"/>
          <w:color w:val="000000" w:themeColor="text1"/>
          <w:sz w:val="32"/>
          <w:szCs w:val="32"/>
          <w:rtl/>
        </w:rPr>
        <w:t xml:space="preserve"> التي تقتضي الفصل والحكم بين أمور الناس، يستعملها عادة الحاكم أو القاضي</w:t>
      </w:r>
      <w:r w:rsidRPr="005E6BB1">
        <w:rPr>
          <w:rFonts w:ascii="Simplified Arabic" w:eastAsia="Times New Roman" w:hAnsi="Simplified Arabic" w:cs="Simplified Arabic"/>
          <w:color w:val="000000" w:themeColor="text1"/>
          <w:sz w:val="32"/>
          <w:szCs w:val="32"/>
        </w:rPr>
        <w:t>.</w:t>
      </w:r>
      <w:r w:rsidRPr="005E6BB1">
        <w:rPr>
          <w:rFonts w:ascii="Simplified Arabic" w:eastAsia="Times New Roman" w:hAnsi="Simplified Arabic" w:cs="Simplified Arabic"/>
          <w:color w:val="000000" w:themeColor="text1"/>
          <w:sz w:val="32"/>
          <w:szCs w:val="32"/>
        </w:rPr>
        <w:br/>
      </w:r>
      <w:r w:rsidRPr="005E6BB1">
        <w:rPr>
          <w:rFonts w:ascii="Simplified Arabic" w:eastAsia="Times New Roman" w:hAnsi="Simplified Arabic" w:cs="Simplified Arabic"/>
          <w:color w:val="000000" w:themeColor="text1"/>
          <w:sz w:val="32"/>
          <w:szCs w:val="32"/>
          <w:rtl/>
        </w:rPr>
        <w:t xml:space="preserve">ولقد اجتمعت هذه الخصائص في خطبة </w:t>
      </w:r>
      <w:r w:rsidR="00AD1235" w:rsidRPr="005E6BB1">
        <w:rPr>
          <w:rFonts w:ascii="Simplified Arabic" w:eastAsia="Times New Roman" w:hAnsi="Simplified Arabic" w:cs="Simplified Arabic"/>
          <w:color w:val="000000" w:themeColor="text1"/>
          <w:sz w:val="32"/>
          <w:szCs w:val="32"/>
          <w:rtl/>
        </w:rPr>
        <w:t>لـ (قس من ساعدة الإ</w:t>
      </w:r>
      <w:r w:rsidRPr="005E6BB1">
        <w:rPr>
          <w:rFonts w:ascii="Simplified Arabic" w:eastAsia="Times New Roman" w:hAnsi="Simplified Arabic" w:cs="Simplified Arabic"/>
          <w:color w:val="000000" w:themeColor="text1"/>
          <w:sz w:val="32"/>
          <w:szCs w:val="32"/>
          <w:rtl/>
        </w:rPr>
        <w:t>يادي) والجدير بالذكر أنه أول من قال في خطبته: (أما بعد) وتسم</w:t>
      </w:r>
      <w:r w:rsidR="00AD1235" w:rsidRPr="005E6BB1">
        <w:rPr>
          <w:rFonts w:ascii="Simplified Arabic" w:eastAsia="Times New Roman" w:hAnsi="Simplified Arabic" w:cs="Simplified Arabic"/>
          <w:color w:val="000000" w:themeColor="text1"/>
          <w:sz w:val="32"/>
          <w:szCs w:val="32"/>
          <w:rtl/>
        </w:rPr>
        <w:t>ى</w:t>
      </w:r>
      <w:r w:rsidRPr="005E6BB1">
        <w:rPr>
          <w:rFonts w:ascii="Simplified Arabic" w:eastAsia="Times New Roman" w:hAnsi="Simplified Arabic" w:cs="Simplified Arabic"/>
          <w:color w:val="000000" w:themeColor="text1"/>
          <w:sz w:val="32"/>
          <w:szCs w:val="32"/>
          <w:rtl/>
        </w:rPr>
        <w:t xml:space="preserve"> (فصل الخطاب)، لأنها تفصل المقدمة عن الموضوع. وقد اقترن موضوع الخطابة بالزعامة، أو الرئاسة للقبيلة أو القوم، كما اقترن من جهة أخرى بلفظ الحسام، فلا مجال لبروز الحسام قبل بروز الكلام، ولا مطمع لسيادة القوم إلا بعد إتقان فن القول، كما أن الخطابة قديمة الحضارات، وقدم حياة الجماعات، فقد عرفت عند المصريين، الرومان، اليونان ق05 قبل الميلاد</w:t>
      </w:r>
      <w:r w:rsidR="00BB6EAF" w:rsidRPr="005E6BB1">
        <w:rPr>
          <w:rFonts w:ascii="Simplified Arabic" w:eastAsia="Times New Roman" w:hAnsi="Simplified Arabic" w:cs="Simplified Arabic"/>
          <w:color w:val="000000" w:themeColor="text1"/>
          <w:sz w:val="32"/>
          <w:szCs w:val="32"/>
          <w:rtl/>
        </w:rPr>
        <w:t xml:space="preserve"> </w:t>
      </w:r>
      <w:r w:rsidR="00876B9B" w:rsidRPr="005E6BB1">
        <w:rPr>
          <w:rFonts w:ascii="Simplified Arabic" w:eastAsia="Times New Roman" w:hAnsi="Simplified Arabic" w:cs="Simplified Arabic"/>
          <w:color w:val="000000" w:themeColor="text1"/>
          <w:sz w:val="32"/>
          <w:szCs w:val="32"/>
          <w:rtl/>
        </w:rPr>
        <w:t>.</w:t>
      </w:r>
    </w:p>
    <w:p w:rsidR="00BC638B" w:rsidRPr="005E6BB1" w:rsidRDefault="00BB6EAF" w:rsidP="005E6BB1">
      <w:pPr>
        <w:autoSpaceDE w:val="0"/>
        <w:autoSpaceDN w:val="0"/>
        <w:bidi/>
        <w:adjustRightInd w:val="0"/>
        <w:spacing w:after="0" w:line="240" w:lineRule="auto"/>
        <w:jc w:val="both"/>
        <w:rPr>
          <w:rFonts w:ascii="Simplified Arabic" w:hAnsi="Simplified Arabic" w:cs="Simplified Arabic"/>
          <w:color w:val="000000" w:themeColor="text1"/>
          <w:sz w:val="32"/>
          <w:szCs w:val="32"/>
          <w:rtl/>
        </w:rPr>
      </w:pPr>
      <w:r w:rsidRPr="005E6BB1">
        <w:rPr>
          <w:rFonts w:ascii="Simplified Arabic" w:hAnsi="Simplified Arabic" w:cs="Simplified Arabic"/>
          <w:color w:val="000000" w:themeColor="text1"/>
          <w:sz w:val="32"/>
          <w:szCs w:val="32"/>
          <w:rtl/>
        </w:rPr>
        <w:t>وهكذا</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فإن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الخطابة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نشأتها</w:t>
      </w:r>
      <w:r w:rsidRPr="005E6BB1">
        <w:rPr>
          <w:rFonts w:ascii="Simplified Arabic" w:hAnsi="Simplified Arabic" w:cs="Simplified Arabic"/>
          <w:color w:val="000000" w:themeColor="text1"/>
          <w:sz w:val="32"/>
          <w:szCs w:val="32"/>
        </w:rPr>
        <w:t xml:space="preserve"> </w:t>
      </w:r>
      <w:r w:rsidR="005E6BB1" w:rsidRPr="005E6BB1">
        <w:rPr>
          <w:rFonts w:ascii="Simplified Arabic" w:hAnsi="Simplified Arabic" w:cs="Simplified Arabic"/>
          <w:color w:val="000000" w:themeColor="text1"/>
          <w:sz w:val="32"/>
          <w:szCs w:val="32"/>
          <w:rtl/>
        </w:rPr>
        <w:t>الأ</w:t>
      </w:r>
      <w:r w:rsidRPr="005E6BB1">
        <w:rPr>
          <w:rFonts w:ascii="Simplified Arabic" w:hAnsi="Simplified Arabic" w:cs="Simplified Arabic"/>
          <w:color w:val="000000" w:themeColor="text1"/>
          <w:sz w:val="32"/>
          <w:szCs w:val="32"/>
          <w:rtl/>
        </w:rPr>
        <w:t>ولى</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خلال</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الجاهلية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كانت</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تصحب</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المقاتلين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في غمار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المعارك</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وتسهم</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ملاحم</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البطولة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إلى</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جانب</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السيف</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وتساعد</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في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وضع</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أكاليل</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الغار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على</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 xml:space="preserve">رؤوس </w:t>
      </w:r>
      <w:r w:rsidR="005E6BB1" w:rsidRPr="005E6BB1">
        <w:rPr>
          <w:rFonts w:ascii="Simplified Arabic" w:hAnsi="Simplified Arabic" w:cs="Simplified Arabic"/>
          <w:color w:val="000000" w:themeColor="text1"/>
          <w:sz w:val="32"/>
          <w:szCs w:val="32"/>
          <w:rtl/>
        </w:rPr>
        <w:t>الأ</w:t>
      </w:r>
      <w:r w:rsidRPr="005E6BB1">
        <w:rPr>
          <w:rFonts w:ascii="Simplified Arabic" w:hAnsi="Simplified Arabic" w:cs="Simplified Arabic"/>
          <w:color w:val="000000" w:themeColor="text1"/>
          <w:sz w:val="32"/>
          <w:szCs w:val="32"/>
          <w:rtl/>
        </w:rPr>
        <w:t>بطال</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كما</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تلحق</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الذل</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بالمنكسرين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المخذولين</w:t>
      </w:r>
      <w:r w:rsidRPr="005E6BB1">
        <w:rPr>
          <w:rStyle w:val="Appelnotedebasdep"/>
          <w:rFonts w:ascii="Simplified Arabic" w:hAnsi="Simplified Arabic" w:cs="Simplified Arabic"/>
          <w:color w:val="000000" w:themeColor="text1"/>
          <w:sz w:val="32"/>
          <w:szCs w:val="32"/>
          <w:rtl/>
        </w:rPr>
        <w:footnoteReference w:id="3"/>
      </w:r>
    </w:p>
    <w:p w:rsidR="00BC638B" w:rsidRPr="005E6BB1" w:rsidRDefault="00BC638B" w:rsidP="005E6BB1">
      <w:pPr>
        <w:bidi/>
        <w:jc w:val="both"/>
        <w:rPr>
          <w:rFonts w:ascii="Simplified Arabic" w:hAnsi="Simplified Arabic" w:cs="Simplified Arabic"/>
          <w:color w:val="000000" w:themeColor="text1"/>
          <w:sz w:val="32"/>
          <w:szCs w:val="32"/>
          <w:rtl/>
        </w:rPr>
      </w:pPr>
      <w:r w:rsidRPr="005E6BB1">
        <w:rPr>
          <w:rFonts w:ascii="Simplified Arabic" w:hAnsi="Simplified Arabic" w:cs="Simplified Arabic"/>
          <w:color w:val="000000" w:themeColor="text1"/>
          <w:sz w:val="32"/>
          <w:szCs w:val="32"/>
          <w:rtl/>
        </w:rPr>
        <w:t>اعتمد الجاهليون في خطبهم أسلوبا مسجعا، جاءت فيه عباراتهم قصيرة شديدة الوقع،وقد وردت بالأكثر في  موضوعي</w:t>
      </w:r>
      <w:r w:rsidR="005E6BB1" w:rsidRPr="005E6BB1">
        <w:rPr>
          <w:rFonts w:ascii="Simplified Arabic" w:hAnsi="Simplified Arabic" w:cs="Simplified Arabic"/>
          <w:color w:val="000000" w:themeColor="text1"/>
          <w:sz w:val="32"/>
          <w:szCs w:val="32"/>
          <w:rtl/>
        </w:rPr>
        <w:t>ن عامين،الأول سياسي ،دعوا فيه إل</w:t>
      </w:r>
      <w:r w:rsidRPr="005E6BB1">
        <w:rPr>
          <w:rFonts w:ascii="Simplified Arabic" w:hAnsi="Simplified Arabic" w:cs="Simplified Arabic"/>
          <w:color w:val="000000" w:themeColor="text1"/>
          <w:sz w:val="32"/>
          <w:szCs w:val="32"/>
          <w:rtl/>
        </w:rPr>
        <w:t>ى التضامن العصبي والمفاخرة بالأنساب والبطولات ، والث</w:t>
      </w:r>
      <w:r w:rsidR="005E6BB1" w:rsidRPr="005E6BB1">
        <w:rPr>
          <w:rFonts w:ascii="Simplified Arabic" w:hAnsi="Simplified Arabic" w:cs="Simplified Arabic"/>
          <w:color w:val="000000" w:themeColor="text1"/>
          <w:sz w:val="32"/>
          <w:szCs w:val="32"/>
          <w:rtl/>
        </w:rPr>
        <w:t>اني ديني، حثوا فيه على عبادة الإ</w:t>
      </w:r>
      <w:r w:rsidRPr="005E6BB1">
        <w:rPr>
          <w:rFonts w:ascii="Simplified Arabic" w:hAnsi="Simplified Arabic" w:cs="Simplified Arabic"/>
          <w:color w:val="000000" w:themeColor="text1"/>
          <w:sz w:val="32"/>
          <w:szCs w:val="32"/>
          <w:rtl/>
        </w:rPr>
        <w:t>له ،والاعتبار بالأحداث،والتمسك بمكارم الأخلاق.</w:t>
      </w:r>
    </w:p>
    <w:p w:rsidR="00BB6EAF" w:rsidRPr="00F44F82" w:rsidRDefault="00BB6EAF" w:rsidP="005E6BB1">
      <w:pPr>
        <w:bidi/>
        <w:jc w:val="both"/>
        <w:rPr>
          <w:rFonts w:ascii="Simplified Arabic" w:hAnsi="Simplified Arabic" w:cs="Simplified Arabic"/>
          <w:b/>
          <w:bCs/>
          <w:color w:val="FF0000"/>
          <w:sz w:val="32"/>
          <w:szCs w:val="32"/>
          <w:rtl/>
        </w:rPr>
      </w:pPr>
      <w:r w:rsidRPr="00F44F82">
        <w:rPr>
          <w:rFonts w:ascii="Simplified Arabic" w:hAnsi="Simplified Arabic" w:cs="Simplified Arabic"/>
          <w:b/>
          <w:bCs/>
          <w:color w:val="FF0000"/>
          <w:sz w:val="32"/>
          <w:szCs w:val="32"/>
          <w:rtl/>
        </w:rPr>
        <w:lastRenderedPageBreak/>
        <w:t>قائمة المصادر والمراجع</w:t>
      </w:r>
    </w:p>
    <w:p w:rsidR="005E6BB1" w:rsidRPr="005E6BB1" w:rsidRDefault="005E6BB1" w:rsidP="005E6BB1">
      <w:pPr>
        <w:pStyle w:val="Notedebasdepage"/>
        <w:bidi/>
        <w:jc w:val="both"/>
        <w:rPr>
          <w:rFonts w:ascii="Simplified Arabic" w:hAnsi="Simplified Arabic" w:cs="Simplified Arabic"/>
          <w:color w:val="000000" w:themeColor="text1"/>
          <w:sz w:val="32"/>
          <w:szCs w:val="32"/>
          <w:rtl/>
        </w:rPr>
      </w:pPr>
      <w:r w:rsidRPr="005E6BB1">
        <w:rPr>
          <w:rStyle w:val="Appelnotedebasdep"/>
          <w:rFonts w:ascii="Simplified Arabic" w:hAnsi="Simplified Arabic" w:cs="Simplified Arabic"/>
          <w:color w:val="000000" w:themeColor="text1"/>
          <w:sz w:val="32"/>
          <w:szCs w:val="32"/>
        </w:rPr>
        <w:footnoteRef/>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ابن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منظور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الأنصاري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الإفريقي</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لسان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العرب</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م</w:t>
      </w:r>
      <w:r w:rsidRPr="005E6BB1">
        <w:rPr>
          <w:rFonts w:ascii="Simplified Arabic" w:hAnsi="Simplified Arabic" w:cs="Simplified Arabic"/>
          <w:color w:val="000000" w:themeColor="text1"/>
          <w:sz w:val="32"/>
          <w:szCs w:val="32"/>
        </w:rPr>
        <w:t xml:space="preserve"> 4. </w:t>
      </w:r>
      <w:r w:rsidRPr="005E6BB1">
        <w:rPr>
          <w:rFonts w:ascii="Simplified Arabic" w:hAnsi="Simplified Arabic" w:cs="Simplified Arabic"/>
          <w:color w:val="000000" w:themeColor="text1"/>
          <w:sz w:val="32"/>
          <w:szCs w:val="32"/>
          <w:rtl/>
        </w:rPr>
        <w:t>دار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الكتب</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العلمية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بيروت</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لبنان،ط1 ،1424 ،2003.</w:t>
      </w:r>
    </w:p>
    <w:p w:rsidR="005E6BB1" w:rsidRPr="005E6BB1" w:rsidRDefault="005E6BB1" w:rsidP="005E6BB1">
      <w:pPr>
        <w:pStyle w:val="Notedebasdepage"/>
        <w:bidi/>
        <w:jc w:val="both"/>
        <w:rPr>
          <w:rFonts w:ascii="Simplified Arabic" w:hAnsi="Simplified Arabic" w:cs="Simplified Arabic"/>
          <w:color w:val="000000" w:themeColor="text1"/>
          <w:sz w:val="32"/>
          <w:szCs w:val="32"/>
          <w:rtl/>
        </w:rPr>
      </w:pPr>
      <w:r w:rsidRPr="005E6BB1">
        <w:rPr>
          <w:rStyle w:val="Appelnotedebasdep"/>
          <w:rFonts w:ascii="Simplified Arabic" w:hAnsi="Simplified Arabic" w:cs="Simplified Arabic"/>
          <w:color w:val="000000" w:themeColor="text1"/>
          <w:sz w:val="32"/>
          <w:szCs w:val="32"/>
        </w:rPr>
        <w:footnoteRef/>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 xml:space="preserve"> ينظر ايليا</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الحاوي</w:t>
      </w:r>
      <w:r w:rsidR="008D1B7D">
        <w:rPr>
          <w:rFonts w:ascii="Simplified Arabic" w:hAnsi="Simplified Arabic" w:cs="Simplified Arabic"/>
          <w:color w:val="000000" w:themeColor="text1"/>
          <w:sz w:val="32"/>
          <w:szCs w:val="32"/>
        </w:rPr>
        <w:t>.</w:t>
      </w:r>
      <w:r w:rsidR="008D1B7D">
        <w:rPr>
          <w:rFonts w:ascii="Simplified Arabic" w:hAnsi="Simplified Arabic" w:cs="Simplified Arabic" w:hint="cs"/>
          <w:color w:val="000000" w:themeColor="text1"/>
          <w:sz w:val="32"/>
          <w:szCs w:val="32"/>
          <w:rtl/>
        </w:rPr>
        <w:t xml:space="preserve">: فن </w:t>
      </w:r>
      <w:r w:rsidRPr="005E6BB1">
        <w:rPr>
          <w:rFonts w:ascii="Simplified Arabic" w:hAnsi="Simplified Arabic" w:cs="Simplified Arabic"/>
          <w:color w:val="000000" w:themeColor="text1"/>
          <w:sz w:val="32"/>
          <w:szCs w:val="32"/>
          <w:rtl/>
        </w:rPr>
        <w:t>الخطابة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وتطوره</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عند</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العرب</w:t>
      </w:r>
      <w:r w:rsidR="008D1B7D">
        <w:rPr>
          <w:rFonts w:ascii="Simplified Arabic" w:hAnsi="Simplified Arabic" w:cs="Simplified Arabic" w:hint="cs"/>
          <w:color w:val="000000" w:themeColor="text1"/>
          <w:sz w:val="32"/>
          <w:szCs w:val="32"/>
          <w:rtl/>
        </w:rPr>
        <w:t xml:space="preserve">، </w:t>
      </w:r>
      <w:r w:rsidRPr="005E6BB1">
        <w:rPr>
          <w:rFonts w:ascii="Simplified Arabic" w:hAnsi="Simplified Arabic" w:cs="Simplified Arabic"/>
          <w:color w:val="000000" w:themeColor="text1"/>
          <w:sz w:val="32"/>
          <w:szCs w:val="32"/>
          <w:rtl/>
        </w:rPr>
        <w:t>دار</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الثقافة،</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بيروت</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لبنان</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ط2 ،</w:t>
      </w:r>
      <w:r w:rsidRPr="005E6BB1">
        <w:rPr>
          <w:rFonts w:ascii="Simplified Arabic" w:hAnsi="Simplified Arabic" w:cs="Simplified Arabic"/>
          <w:color w:val="000000" w:themeColor="text1"/>
          <w:sz w:val="32"/>
          <w:szCs w:val="32"/>
        </w:rPr>
        <w:t xml:space="preserve"> </w:t>
      </w:r>
      <w:r w:rsidRPr="005E6BB1">
        <w:rPr>
          <w:rFonts w:ascii="Simplified Arabic" w:hAnsi="Simplified Arabic" w:cs="Simplified Arabic"/>
          <w:color w:val="000000" w:themeColor="text1"/>
          <w:sz w:val="32"/>
          <w:szCs w:val="32"/>
          <w:rtl/>
        </w:rPr>
        <w:t>د</w:t>
      </w:r>
      <w:r w:rsidRPr="005E6BB1">
        <w:rPr>
          <w:rFonts w:ascii="Simplified Arabic" w:hAnsi="Simplified Arabic" w:cs="Simplified Arabic"/>
          <w:color w:val="000000" w:themeColor="text1"/>
          <w:sz w:val="32"/>
          <w:szCs w:val="32"/>
        </w:rPr>
        <w:t>.</w:t>
      </w:r>
      <w:r w:rsidRPr="005E6BB1">
        <w:rPr>
          <w:rFonts w:ascii="Simplified Arabic" w:hAnsi="Simplified Arabic" w:cs="Simplified Arabic"/>
          <w:color w:val="000000" w:themeColor="text1"/>
          <w:sz w:val="32"/>
          <w:szCs w:val="32"/>
          <w:rtl/>
        </w:rPr>
        <w:t>ت</w:t>
      </w:r>
      <w:r w:rsidRPr="005E6BB1">
        <w:rPr>
          <w:rFonts w:ascii="Simplified Arabic" w:hAnsi="Simplified Arabic" w:cs="Simplified Arabic"/>
          <w:color w:val="000000" w:themeColor="text1"/>
          <w:sz w:val="32"/>
          <w:szCs w:val="32"/>
        </w:rPr>
        <w:t xml:space="preserve">. </w:t>
      </w:r>
    </w:p>
    <w:p w:rsidR="005E6BB1" w:rsidRPr="005E6BB1" w:rsidRDefault="005E6BB1" w:rsidP="005E6BB1">
      <w:pPr>
        <w:bidi/>
        <w:jc w:val="both"/>
        <w:rPr>
          <w:rFonts w:ascii="Simplified Arabic" w:hAnsi="Simplified Arabic" w:cs="Simplified Arabic"/>
          <w:b/>
          <w:bCs/>
          <w:color w:val="000000" w:themeColor="text1"/>
          <w:sz w:val="32"/>
          <w:szCs w:val="32"/>
          <w:rtl/>
        </w:rPr>
      </w:pPr>
    </w:p>
    <w:p w:rsidR="005E6BB1" w:rsidRPr="005E6BB1" w:rsidRDefault="005E6BB1" w:rsidP="005E6BB1">
      <w:pPr>
        <w:bidi/>
        <w:jc w:val="both"/>
        <w:rPr>
          <w:rFonts w:ascii="Simplified Arabic" w:hAnsi="Simplified Arabic" w:cs="Simplified Arabic"/>
          <w:b/>
          <w:bCs/>
          <w:color w:val="000000" w:themeColor="text1"/>
          <w:sz w:val="32"/>
          <w:szCs w:val="32"/>
          <w:rtl/>
        </w:rPr>
      </w:pPr>
    </w:p>
    <w:p w:rsidR="00BB6EAF" w:rsidRPr="005E6BB1" w:rsidRDefault="00BB6EAF" w:rsidP="005E6BB1">
      <w:pPr>
        <w:bidi/>
        <w:jc w:val="both"/>
        <w:rPr>
          <w:rFonts w:ascii="Simplified Arabic" w:hAnsi="Simplified Arabic" w:cs="Simplified Arabic"/>
          <w:b/>
          <w:bCs/>
          <w:color w:val="000000" w:themeColor="text1"/>
          <w:sz w:val="32"/>
          <w:szCs w:val="32"/>
          <w:rtl/>
        </w:rPr>
      </w:pPr>
    </w:p>
    <w:p w:rsidR="00467AFE" w:rsidRPr="005E6BB1" w:rsidRDefault="00467AFE" w:rsidP="00BB6EAF">
      <w:pPr>
        <w:rPr>
          <w:rFonts w:ascii="Simplified Arabic" w:hAnsi="Simplified Arabic" w:cs="Simplified Arabic"/>
          <w:color w:val="000000" w:themeColor="text1"/>
          <w:sz w:val="32"/>
          <w:szCs w:val="32"/>
        </w:rPr>
      </w:pPr>
    </w:p>
    <w:sectPr w:rsidR="00467AFE" w:rsidRPr="005E6BB1" w:rsidSect="00C522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55" w:rsidRDefault="00B96255" w:rsidP="00BB6EAF">
      <w:pPr>
        <w:spacing w:after="0" w:line="240" w:lineRule="auto"/>
      </w:pPr>
      <w:r>
        <w:separator/>
      </w:r>
    </w:p>
  </w:endnote>
  <w:endnote w:type="continuationSeparator" w:id="1">
    <w:p w:rsidR="00B96255" w:rsidRDefault="00B96255" w:rsidP="00BB6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55" w:rsidRDefault="00B96255" w:rsidP="00BB6EAF">
      <w:pPr>
        <w:spacing w:after="0" w:line="240" w:lineRule="auto"/>
      </w:pPr>
      <w:r>
        <w:separator/>
      </w:r>
    </w:p>
  </w:footnote>
  <w:footnote w:type="continuationSeparator" w:id="1">
    <w:p w:rsidR="00B96255" w:rsidRDefault="00B96255" w:rsidP="00BB6EAF">
      <w:pPr>
        <w:spacing w:after="0" w:line="240" w:lineRule="auto"/>
      </w:pPr>
      <w:r>
        <w:continuationSeparator/>
      </w:r>
    </w:p>
  </w:footnote>
  <w:footnote w:id="2">
    <w:p w:rsidR="00BB6EAF" w:rsidRPr="00BB6EAF" w:rsidRDefault="00BB6EAF" w:rsidP="00BB6EAF">
      <w:pPr>
        <w:pStyle w:val="Notedebasdepage"/>
        <w:bidi/>
        <w:rPr>
          <w:rtl/>
        </w:rPr>
      </w:pPr>
      <w:r>
        <w:rPr>
          <w:rStyle w:val="Appelnotedebasdep"/>
        </w:rPr>
        <w:footnoteRef/>
      </w:r>
      <w:r>
        <w:t xml:space="preserve"> </w:t>
      </w:r>
      <w:r>
        <w:rPr>
          <w:rFonts w:ascii="Traditional Arabic" w:hAnsi="Traditional Arabic" w:cs="Traditional Arabic"/>
          <w:sz w:val="28"/>
          <w:szCs w:val="28"/>
          <w:rtl/>
        </w:rPr>
        <w:t>ابن</w:t>
      </w:r>
      <w:r>
        <w:rPr>
          <w:rFonts w:ascii="Traditional Arabic" w:hAnsi="Traditional Arabic" w:cs="Traditional Arabic"/>
          <w:sz w:val="28"/>
          <w:szCs w:val="28"/>
        </w:rPr>
        <w:t xml:space="preserve"> </w:t>
      </w:r>
      <w:r>
        <w:rPr>
          <w:rFonts w:ascii="Traditional Arabic" w:hAnsi="Traditional Arabic" w:cs="Traditional Arabic"/>
          <w:sz w:val="28"/>
          <w:szCs w:val="28"/>
          <w:rtl/>
        </w:rPr>
        <w:t>منظور</w:t>
      </w:r>
      <w:r>
        <w:rPr>
          <w:rFonts w:ascii="Traditional Arabic" w:hAnsi="Traditional Arabic" w:cs="Traditional Arabic"/>
          <w:sz w:val="28"/>
          <w:szCs w:val="28"/>
        </w:rPr>
        <w:t xml:space="preserve"> </w:t>
      </w:r>
      <w:r>
        <w:rPr>
          <w:rFonts w:ascii="Traditional Arabic" w:hAnsi="Traditional Arabic" w:cs="Traditional Arabic"/>
          <w:sz w:val="28"/>
          <w:szCs w:val="28"/>
          <w:rtl/>
        </w:rPr>
        <w:t>الأنصاري</w:t>
      </w:r>
      <w:r>
        <w:rPr>
          <w:rFonts w:ascii="Traditional Arabic" w:hAnsi="Traditional Arabic" w:cs="Traditional Arabic"/>
          <w:sz w:val="28"/>
          <w:szCs w:val="28"/>
        </w:rPr>
        <w:t xml:space="preserve"> </w:t>
      </w:r>
      <w:r>
        <w:rPr>
          <w:rFonts w:ascii="Traditional Arabic" w:hAnsi="Traditional Arabic" w:cs="Traditional Arabic"/>
          <w:sz w:val="28"/>
          <w:szCs w:val="28"/>
          <w:rtl/>
        </w:rPr>
        <w:t>الإفريقي</w:t>
      </w:r>
      <w:r>
        <w:rPr>
          <w:rFonts w:ascii="Traditional Arabic" w:hAnsi="Traditional Arabic" w:cs="Traditional Arabic"/>
          <w:sz w:val="28"/>
          <w:szCs w:val="28"/>
        </w:rPr>
        <w:t xml:space="preserve">. </w:t>
      </w:r>
      <w:r>
        <w:rPr>
          <w:rFonts w:ascii="Traditional Arabic" w:hAnsi="Traditional Arabic" w:cs="Traditional Arabic"/>
          <w:sz w:val="28"/>
          <w:szCs w:val="28"/>
          <w:rtl/>
        </w:rPr>
        <w:t>لسان</w:t>
      </w:r>
      <w:r>
        <w:rPr>
          <w:rFonts w:ascii="Traditional Arabic" w:hAnsi="Traditional Arabic" w:cs="Traditional Arabic"/>
          <w:sz w:val="28"/>
          <w:szCs w:val="28"/>
        </w:rPr>
        <w:t xml:space="preserve"> </w:t>
      </w:r>
      <w:r>
        <w:rPr>
          <w:rFonts w:ascii="Traditional Arabic" w:hAnsi="Traditional Arabic" w:cs="Traditional Arabic"/>
          <w:sz w:val="28"/>
          <w:szCs w:val="28"/>
          <w:rtl/>
        </w:rPr>
        <w:t>العرب</w:t>
      </w:r>
      <w:r>
        <w:rPr>
          <w:rFonts w:ascii="Traditional Arabic" w:hAnsi="Traditional Arabic" w:cs="Traditional Arabic"/>
          <w:sz w:val="28"/>
          <w:szCs w:val="28"/>
        </w:rPr>
        <w:t xml:space="preserve">. </w:t>
      </w:r>
      <w:r>
        <w:rPr>
          <w:rFonts w:ascii="Traditional Arabic" w:hAnsi="Traditional Arabic" w:cs="Traditional Arabic"/>
          <w:sz w:val="28"/>
          <w:szCs w:val="28"/>
          <w:rtl/>
        </w:rPr>
        <w:t>م</w:t>
      </w:r>
      <w:r>
        <w:rPr>
          <w:rFonts w:ascii="Traditional Arabic" w:hAnsi="Traditional Arabic" w:cs="Traditional Arabic"/>
          <w:sz w:val="28"/>
          <w:szCs w:val="28"/>
        </w:rPr>
        <w:t xml:space="preserve"> </w:t>
      </w:r>
      <w:r>
        <w:rPr>
          <w:rFonts w:ascii="Calibri" w:hAnsi="Calibri" w:cs="Calibri"/>
          <w:sz w:val="28"/>
          <w:szCs w:val="28"/>
        </w:rPr>
        <w:t>4</w:t>
      </w:r>
      <w:r>
        <w:rPr>
          <w:rFonts w:ascii="Traditional Arabic" w:hAnsi="Traditional Arabic" w:cs="Traditional Arabic"/>
          <w:sz w:val="28"/>
          <w:szCs w:val="28"/>
        </w:rPr>
        <w:t xml:space="preserve">. </w:t>
      </w:r>
      <w:r>
        <w:rPr>
          <w:rFonts w:ascii="Traditional Arabic" w:hAnsi="Traditional Arabic" w:cs="Traditional Arabic"/>
          <w:sz w:val="28"/>
          <w:szCs w:val="28"/>
          <w:rtl/>
        </w:rPr>
        <w:t>دار</w:t>
      </w:r>
      <w:r>
        <w:rPr>
          <w:rFonts w:ascii="Traditional Arabic" w:hAnsi="Traditional Arabic" w:cs="Traditional Arabic"/>
          <w:sz w:val="28"/>
          <w:szCs w:val="28"/>
        </w:rPr>
        <w:t xml:space="preserve"> </w:t>
      </w:r>
      <w:r>
        <w:rPr>
          <w:rFonts w:ascii="Traditional Arabic" w:hAnsi="Traditional Arabic" w:cs="Traditional Arabic"/>
          <w:sz w:val="28"/>
          <w:szCs w:val="28"/>
          <w:rtl/>
        </w:rPr>
        <w:t>الكتب</w:t>
      </w:r>
      <w:r>
        <w:rPr>
          <w:rFonts w:ascii="Traditional Arabic" w:hAnsi="Traditional Arabic" w:cs="Traditional Arabic"/>
          <w:sz w:val="28"/>
          <w:szCs w:val="28"/>
        </w:rPr>
        <w:t xml:space="preserve"> </w:t>
      </w:r>
      <w:r>
        <w:rPr>
          <w:rFonts w:ascii="Traditional Arabic" w:hAnsi="Traditional Arabic" w:cs="Traditional Arabic"/>
          <w:sz w:val="28"/>
          <w:szCs w:val="28"/>
          <w:rtl/>
        </w:rPr>
        <w:t>العلمية</w:t>
      </w:r>
      <w:r>
        <w:rPr>
          <w:rFonts w:ascii="Traditional Arabic" w:hAnsi="Traditional Arabic" w:cs="Traditional Arabic"/>
          <w:sz w:val="28"/>
          <w:szCs w:val="28"/>
        </w:rPr>
        <w:t xml:space="preserve"> </w:t>
      </w:r>
      <w:r>
        <w:rPr>
          <w:rFonts w:ascii="Traditional Arabic" w:hAnsi="Traditional Arabic" w:cs="Traditional Arabic"/>
          <w:sz w:val="28"/>
          <w:szCs w:val="28"/>
          <w:rtl/>
        </w:rPr>
        <w:t>بيروت</w:t>
      </w:r>
      <w:r>
        <w:rPr>
          <w:rFonts w:ascii="Traditional Arabic" w:hAnsi="Traditional Arabic" w:cs="Traditional Arabic"/>
          <w:sz w:val="28"/>
          <w:szCs w:val="28"/>
        </w:rPr>
        <w:t xml:space="preserve"> </w:t>
      </w:r>
      <w:r>
        <w:rPr>
          <w:rFonts w:ascii="Traditional Arabic" w:hAnsi="Traditional Arabic" w:cs="Traditional Arabic"/>
          <w:sz w:val="28"/>
          <w:szCs w:val="28"/>
          <w:rtl/>
        </w:rPr>
        <w:t>لبنان</w:t>
      </w:r>
      <w:r>
        <w:rPr>
          <w:rFonts w:ascii="Traditional Arabic" w:hAnsi="Traditional Arabic" w:cs="Traditional Arabic" w:hint="cs"/>
          <w:sz w:val="28"/>
          <w:szCs w:val="28"/>
          <w:rtl/>
        </w:rPr>
        <w:t>،ط1 ،1424 ،2003، ص181.</w:t>
      </w:r>
    </w:p>
  </w:footnote>
  <w:footnote w:id="3">
    <w:p w:rsidR="00BB6EAF" w:rsidRPr="005E6BB1" w:rsidRDefault="00BB6EAF" w:rsidP="00BB6EAF">
      <w:pPr>
        <w:pStyle w:val="Notedebasdepage"/>
        <w:bidi/>
        <w:rPr>
          <w:rFonts w:ascii="Simplified Arabic" w:hAnsi="Simplified Arabic" w:cs="Simplified Arabic"/>
          <w:sz w:val="24"/>
          <w:szCs w:val="24"/>
          <w:rtl/>
        </w:rPr>
      </w:pPr>
      <w:r w:rsidRPr="005E6BB1">
        <w:rPr>
          <w:rStyle w:val="Appelnotedebasdep"/>
          <w:rFonts w:ascii="Simplified Arabic" w:hAnsi="Simplified Arabic" w:cs="Simplified Arabic"/>
          <w:sz w:val="24"/>
          <w:szCs w:val="24"/>
        </w:rPr>
        <w:footnoteRef/>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 xml:space="preserve"> ينظر ايليا</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الحاوي</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فن</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الخطابة</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وتطوره</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عند</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العرب</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دار</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الثقافة،</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بيروت</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لبنان</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ط2 ،</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د</w:t>
      </w:r>
      <w:r w:rsidRPr="005E6BB1">
        <w:rPr>
          <w:rFonts w:ascii="Simplified Arabic" w:hAnsi="Simplified Arabic" w:cs="Simplified Arabic"/>
          <w:sz w:val="24"/>
          <w:szCs w:val="24"/>
        </w:rPr>
        <w:t>.</w:t>
      </w:r>
      <w:r w:rsidRPr="005E6BB1">
        <w:rPr>
          <w:rFonts w:ascii="Simplified Arabic" w:hAnsi="Simplified Arabic" w:cs="Simplified Arabic"/>
          <w:sz w:val="24"/>
          <w:szCs w:val="24"/>
          <w:rtl/>
        </w:rPr>
        <w:t>ت</w:t>
      </w:r>
      <w:r w:rsidRPr="005E6BB1">
        <w:rPr>
          <w:rFonts w:ascii="Simplified Arabic" w:hAnsi="Simplified Arabic" w:cs="Simplified Arabic"/>
          <w:sz w:val="24"/>
          <w:szCs w:val="24"/>
        </w:rPr>
        <w:t xml:space="preserve">. </w:t>
      </w:r>
      <w:r w:rsidRPr="005E6BB1">
        <w:rPr>
          <w:rFonts w:ascii="Simplified Arabic" w:hAnsi="Simplified Arabic" w:cs="Simplified Arabic"/>
          <w:sz w:val="24"/>
          <w:szCs w:val="24"/>
          <w:rtl/>
        </w:rPr>
        <w:t>ص 31.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C638B"/>
    <w:rsid w:val="001E0BA6"/>
    <w:rsid w:val="0026011C"/>
    <w:rsid w:val="00377148"/>
    <w:rsid w:val="003B7F6E"/>
    <w:rsid w:val="00467AFE"/>
    <w:rsid w:val="005E6BB1"/>
    <w:rsid w:val="005F682C"/>
    <w:rsid w:val="0061693B"/>
    <w:rsid w:val="00683826"/>
    <w:rsid w:val="006A7E8F"/>
    <w:rsid w:val="00876B9B"/>
    <w:rsid w:val="008D1B7D"/>
    <w:rsid w:val="009501E3"/>
    <w:rsid w:val="00AD1235"/>
    <w:rsid w:val="00B34ECB"/>
    <w:rsid w:val="00B96255"/>
    <w:rsid w:val="00BB5D82"/>
    <w:rsid w:val="00BB6EAF"/>
    <w:rsid w:val="00BC638B"/>
    <w:rsid w:val="00C522EA"/>
    <w:rsid w:val="00C7589F"/>
    <w:rsid w:val="00CA7822"/>
    <w:rsid w:val="00F44F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B6E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6EAF"/>
    <w:rPr>
      <w:sz w:val="20"/>
      <w:szCs w:val="20"/>
    </w:rPr>
  </w:style>
  <w:style w:type="character" w:styleId="Appelnotedebasdep">
    <w:name w:val="footnote reference"/>
    <w:basedOn w:val="Policepardfaut"/>
    <w:uiPriority w:val="99"/>
    <w:semiHidden/>
    <w:unhideWhenUsed/>
    <w:rsid w:val="00BB6EA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AA2B-247C-4C24-90C3-4A74B20E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462</Words>
  <Characters>2543</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14</cp:revision>
  <dcterms:created xsi:type="dcterms:W3CDTF">2024-02-04T18:04:00Z</dcterms:created>
  <dcterms:modified xsi:type="dcterms:W3CDTF">2024-04-09T20:16:00Z</dcterms:modified>
</cp:coreProperties>
</file>