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92" w:rsidRPr="00EC1BB5" w:rsidRDefault="00682892" w:rsidP="00EC1BB5">
      <w:pPr>
        <w:pStyle w:val="Paragraphedeliste"/>
        <w:numPr>
          <w:ilvl w:val="0"/>
          <w:numId w:val="6"/>
        </w:numPr>
        <w:rPr>
          <w:b/>
          <w:bCs/>
        </w:rPr>
      </w:pPr>
      <w:r w:rsidRPr="00EC1BB5">
        <w:rPr>
          <w:b/>
          <w:bCs/>
        </w:rPr>
        <w:t xml:space="preserve">L’apprentissage </w:t>
      </w:r>
    </w:p>
    <w:p w:rsidR="00682892" w:rsidRPr="00682892" w:rsidRDefault="00682892" w:rsidP="00682892">
      <w:pPr>
        <w:jc w:val="both"/>
        <w:rPr>
          <w:b/>
          <w:bCs/>
        </w:rPr>
      </w:pPr>
      <w:r w:rsidRPr="00682892">
        <w:t xml:space="preserve">Étudiant dans une nouvelle ville, vous vous sentez complètement perdu. Puis au fil des jours, vous vous souvenez de tel magasin ou telle place, qu’il faut tourner à gauche après l’arrêt de bus…, et bientôt, après quelques semaines, vous arrivez à la fac sans avoir fait attention au trajet, tout en téléphonant. Votre corps a fait le chemin tout seul. </w:t>
      </w:r>
    </w:p>
    <w:p w:rsidR="00682892" w:rsidRPr="00682892" w:rsidRDefault="00682892" w:rsidP="00682892">
      <w:pPr>
        <w:jc w:val="both"/>
      </w:pPr>
      <w:r w:rsidRPr="00682892">
        <w:t xml:space="preserve">En effet nos capacités d’apprentissage sont extraordinaires. Mais les apprentissages sont très variés et correspondent à des « couches » du système nerveux, héritées d’animaux plus ou moins évolués. Dans la plupart des cas, comme les sportifs l’ont bien compris, l’apprentissage nécessite beaucoup d’entraînement, car il en résulte de connexions entre neurones. </w:t>
      </w:r>
      <w:r>
        <w:t>Ainsi, l</w:t>
      </w:r>
      <w:r w:rsidRPr="00682892">
        <w:t>’homme a des capacités d’apprentissage évoluées, par observation et apprentissage de symboles.</w:t>
      </w:r>
    </w:p>
    <w:p w:rsidR="00682892" w:rsidRPr="00EC1BB5" w:rsidRDefault="00682892" w:rsidP="00EC1BB5">
      <w:pPr>
        <w:pStyle w:val="Paragraphedeliste"/>
        <w:numPr>
          <w:ilvl w:val="1"/>
          <w:numId w:val="6"/>
        </w:numPr>
        <w:jc w:val="both"/>
        <w:rPr>
          <w:b/>
          <w:bCs/>
        </w:rPr>
      </w:pPr>
      <w:r w:rsidRPr="00EC1BB5">
        <w:rPr>
          <w:b/>
          <w:bCs/>
        </w:rPr>
        <w:t xml:space="preserve"> Apprentissage et mémoire </w:t>
      </w:r>
    </w:p>
    <w:p w:rsidR="00682892" w:rsidRPr="00682892" w:rsidRDefault="00682892" w:rsidP="00682892">
      <w:pPr>
        <w:ind w:firstLine="567"/>
        <w:jc w:val="both"/>
        <w:rPr>
          <w:b/>
          <w:bCs/>
        </w:rPr>
      </w:pPr>
      <w:r w:rsidRPr="00682892">
        <w:t xml:space="preserve">Les concepts d’apprentissage et de mémoire se réfèrent à la même réalité psychologique mais sont liés à des modes. De l’Antiquité aux débuts de la psychologie expérimentale, le terme « mémoire » domine. C’est le behaviorisme qui (en excluant les termes évoquant des phénomènes mentaux) impose le terme d’apprentissage. À l’inverse, les biologistes, qui n’ont pas subi l’influence du behaviorisme, ont continué à parler de « mémoire biologique ». </w:t>
      </w:r>
    </w:p>
    <w:p w:rsidR="00682892" w:rsidRPr="00682892" w:rsidRDefault="00682892" w:rsidP="00682892">
      <w:pPr>
        <w:ind w:firstLine="567"/>
        <w:jc w:val="both"/>
      </w:pPr>
      <w:r w:rsidRPr="00682892">
        <w:t>De nos jours, les deux termes sont employés de façon presque synonyme : « apprentissage » est plutôt employé pour désigner la modification systématique du comportement en fonction de l’entraînement tandis que le terme de « mémoire » désigne plutôt l’ensemble des structures qui permettent ces modifications.</w:t>
      </w:r>
    </w:p>
    <w:p w:rsidR="00682892" w:rsidRPr="00682892" w:rsidRDefault="00682892" w:rsidP="00EC1BB5">
      <w:pPr>
        <w:pStyle w:val="Paragraphedeliste"/>
        <w:numPr>
          <w:ilvl w:val="1"/>
          <w:numId w:val="6"/>
        </w:numPr>
        <w:jc w:val="both"/>
      </w:pPr>
      <w:r w:rsidRPr="00EC1BB5">
        <w:rPr>
          <w:b/>
          <w:bCs/>
        </w:rPr>
        <w:t>Niveaux d’apprentissages</w:t>
      </w:r>
      <w:r w:rsidRPr="00682892">
        <w:t xml:space="preserve">  </w:t>
      </w:r>
    </w:p>
    <w:p w:rsidR="00682892" w:rsidRDefault="00682892" w:rsidP="00682892">
      <w:pPr>
        <w:jc w:val="both"/>
      </w:pPr>
      <w:r>
        <w:t xml:space="preserve">    L’apprentissage comprend une très grande variété</w:t>
      </w:r>
      <w:r>
        <w:rPr>
          <w:b/>
          <w:bCs/>
        </w:rPr>
        <w:t xml:space="preserve"> </w:t>
      </w:r>
      <w:r w:rsidRPr="00682892">
        <w:t>de types ou niveaux d’apprentissage,</w:t>
      </w:r>
      <w:r>
        <w:rPr>
          <w:b/>
          <w:bCs/>
        </w:rPr>
        <w:t xml:space="preserve"> </w:t>
      </w:r>
      <w:r>
        <w:t>liés en grande partie à la complexité du système nerveux, en particulier du cerveau. Ces niveaux sont représentés ci-dessous sous la forme d’une pyramide (Figure), qui évoque l’idée que les organismes complexes possèdent des formes importantes d’apprentissage :</w:t>
      </w:r>
    </w:p>
    <w:p w:rsidR="00682892" w:rsidRDefault="00682892" w:rsidP="00682892">
      <w:pPr>
        <w:ind w:left="-851" w:right="-766"/>
        <w:jc w:val="both"/>
        <w:rPr>
          <w:b/>
          <w:bCs/>
          <w:sz w:val="40"/>
          <w:szCs w:val="40"/>
        </w:rPr>
      </w:pPr>
      <w:r>
        <w:rPr>
          <w:b/>
          <w:bCs/>
          <w:noProof/>
          <w:sz w:val="40"/>
          <w:szCs w:val="40"/>
          <w:lang w:eastAsia="fr-FR"/>
        </w:rPr>
        <w:lastRenderedPageBreak/>
        <w:drawing>
          <wp:inline distT="0" distB="0" distL="0" distR="0">
            <wp:extent cx="6248400" cy="28194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48400" cy="2819400"/>
                    </a:xfrm>
                    <a:prstGeom prst="rect">
                      <a:avLst/>
                    </a:prstGeom>
                    <a:noFill/>
                    <a:ln w="9525">
                      <a:noFill/>
                      <a:miter lim="800000"/>
                      <a:headEnd/>
                      <a:tailEnd/>
                    </a:ln>
                  </pic:spPr>
                </pic:pic>
              </a:graphicData>
            </a:graphic>
          </wp:inline>
        </w:drawing>
      </w:r>
    </w:p>
    <w:p w:rsidR="00682892" w:rsidRDefault="00682892" w:rsidP="00682892">
      <w:pPr>
        <w:jc w:val="both"/>
      </w:pPr>
      <w:r>
        <w:rPr>
          <w:b/>
          <w:bCs/>
        </w:rPr>
        <w:t>Figure :</w:t>
      </w:r>
      <w:r>
        <w:t xml:space="preserve"> </w:t>
      </w:r>
      <w:r w:rsidRPr="00682892">
        <w:rPr>
          <w:i/>
          <w:iCs/>
        </w:rPr>
        <w:t>Pyramide des principales formes d’apprentissage en fonction de la complexité biologique.</w:t>
      </w:r>
    </w:p>
    <w:p w:rsidR="00682892" w:rsidRPr="00682892" w:rsidRDefault="00682892" w:rsidP="00EC1BB5">
      <w:pPr>
        <w:pStyle w:val="Paragraphedeliste"/>
        <w:numPr>
          <w:ilvl w:val="0"/>
          <w:numId w:val="6"/>
        </w:numPr>
        <w:rPr>
          <w:b/>
          <w:bCs/>
          <w:sz w:val="40"/>
          <w:szCs w:val="40"/>
        </w:rPr>
      </w:pPr>
      <w:r w:rsidRPr="00682892">
        <w:rPr>
          <w:rFonts w:asciiTheme="majorBidi" w:hAnsiTheme="majorBidi" w:cstheme="majorBidi"/>
          <w:b/>
          <w:bCs/>
          <w:sz w:val="28"/>
          <w:szCs w:val="28"/>
        </w:rPr>
        <w:t xml:space="preserve">L’apprentissage chez l’homme : La mémoire procédurale </w:t>
      </w:r>
    </w:p>
    <w:p w:rsidR="00682892" w:rsidRDefault="00682892" w:rsidP="00682892">
      <w:pPr>
        <w:jc w:val="both"/>
        <w:rPr>
          <w:rFonts w:asciiTheme="majorBidi" w:hAnsiTheme="majorBidi" w:cstheme="majorBidi"/>
        </w:rPr>
      </w:pPr>
      <w:r>
        <w:rPr>
          <w:rFonts w:asciiTheme="majorBidi" w:hAnsiTheme="majorBidi" w:cstheme="majorBidi"/>
        </w:rPr>
        <w:t xml:space="preserve">     Les capacités de représentation mentale chez l’homme sont telles (le cerveau humain pèse 1400 g contre 400 g pour le chimpanzé) que la mémoire humaine dispose de ressources défiant toute comparaison avec l’animal, un vocabulaire de dizaines de milliers de mots, la représentation du temps, etc. Des chercheurs ont redécouvert l’intérêt de ces apprentissages qui sont regroupés maintenant sous le nom de mémoire procédurale.</w:t>
      </w:r>
    </w:p>
    <w:p w:rsidR="00682892" w:rsidRPr="00682892" w:rsidRDefault="00682892" w:rsidP="00EC1BB5">
      <w:pPr>
        <w:pStyle w:val="Paragraphedeliste"/>
        <w:numPr>
          <w:ilvl w:val="1"/>
          <w:numId w:val="6"/>
        </w:numPr>
        <w:jc w:val="both"/>
        <w:rPr>
          <w:rFonts w:asciiTheme="majorBidi" w:hAnsiTheme="majorBidi" w:cstheme="majorBidi"/>
          <w:b/>
          <w:bCs/>
        </w:rPr>
      </w:pPr>
      <w:r w:rsidRPr="00682892">
        <w:rPr>
          <w:rFonts w:asciiTheme="majorBidi" w:hAnsiTheme="majorBidi" w:cstheme="majorBidi"/>
          <w:b/>
          <w:bCs/>
        </w:rPr>
        <w:t xml:space="preserve"> La courbe d’apprentissage</w:t>
      </w:r>
    </w:p>
    <w:p w:rsidR="00682892" w:rsidRDefault="00682892" w:rsidP="00682892">
      <w:pPr>
        <w:jc w:val="both"/>
        <w:rPr>
          <w:rFonts w:asciiTheme="majorBidi" w:hAnsiTheme="majorBidi" w:cstheme="majorBidi"/>
        </w:rPr>
      </w:pPr>
      <w:r>
        <w:rPr>
          <w:rFonts w:asciiTheme="majorBidi" w:hAnsiTheme="majorBidi" w:cstheme="majorBidi"/>
        </w:rPr>
        <w:t xml:space="preserve">      Lorsque les psychologues ont étudié l’apprentissage de la fin du XIX</w:t>
      </w:r>
      <w:r>
        <w:rPr>
          <w:rFonts w:asciiTheme="majorBidi" w:hAnsiTheme="majorBidi" w:cstheme="majorBidi"/>
          <w:vertAlign w:val="superscript"/>
        </w:rPr>
        <w:t>e</w:t>
      </w:r>
      <w:r>
        <w:rPr>
          <w:rFonts w:asciiTheme="majorBidi" w:hAnsiTheme="majorBidi" w:cstheme="majorBidi"/>
        </w:rPr>
        <w:t xml:space="preserve"> au début du XX</w:t>
      </w:r>
      <w:r>
        <w:rPr>
          <w:rFonts w:asciiTheme="majorBidi" w:hAnsiTheme="majorBidi" w:cstheme="majorBidi"/>
          <w:vertAlign w:val="superscript"/>
        </w:rPr>
        <w:t>e</w:t>
      </w:r>
      <w:r>
        <w:rPr>
          <w:rFonts w:asciiTheme="majorBidi" w:hAnsiTheme="majorBidi" w:cstheme="majorBidi"/>
        </w:rPr>
        <w:t xml:space="preserve">, c’était moins pour des préoccupations théoriques que pratiques. Les recherches, avec pour finalité le travail ou l’éducation, se basaient sur des situations de la vie quotidienne : travail à la chaîne, dactylographie, etc. Mais les résultats étaient souvent les mêmes et la courbe d’apprentissage chez l’homme avait toujours la même forme, une montée rapide et un plateau définissant les limites biologiques (ou à l’inverse une diminution avec un plateau pour des erreurs ou un temps). </w:t>
      </w:r>
    </w:p>
    <w:p w:rsidR="00682892" w:rsidRDefault="00682892" w:rsidP="00682892">
      <w:pPr>
        <w:jc w:val="both"/>
        <w:rPr>
          <w:rFonts w:asciiTheme="majorBidi" w:hAnsiTheme="majorBidi" w:cstheme="majorBidi"/>
        </w:rPr>
      </w:pPr>
      <w:r>
        <w:rPr>
          <w:rFonts w:asciiTheme="majorBidi" w:hAnsiTheme="majorBidi" w:cstheme="majorBidi"/>
        </w:rPr>
        <w:t xml:space="preserve">      Un bon exemple de cette courbe est donné dans l’apprentissage de la télégraphie avec l’alphabet morse (</w:t>
      </w:r>
    </w:p>
    <w:tbl>
      <w:tblPr>
        <w:tblW w:w="6097" w:type="dxa"/>
        <w:shd w:val="clear" w:color="auto" w:fill="FFFFFF"/>
        <w:tblLook w:val="04A0"/>
      </w:tblPr>
      <w:tblGrid>
        <w:gridCol w:w="1172"/>
        <w:gridCol w:w="2357"/>
        <w:gridCol w:w="2568"/>
      </w:tblGrid>
      <w:tr w:rsidR="00682892" w:rsidTr="00682892">
        <w:trPr>
          <w:trHeight w:val="243"/>
        </w:trPr>
        <w:tc>
          <w:tcPr>
            <w:tcW w:w="0" w:type="auto"/>
            <w:shd w:val="clear" w:color="auto" w:fill="FFFFFF"/>
            <w:tcMar>
              <w:top w:w="75" w:type="dxa"/>
              <w:left w:w="0" w:type="dxa"/>
              <w:bottom w:w="75" w:type="dxa"/>
              <w:right w:w="94" w:type="dxa"/>
            </w:tcMar>
            <w:hideMark/>
          </w:tcPr>
          <w:p w:rsidR="00682892" w:rsidRDefault="00682892">
            <w:pPr>
              <w:spacing w:after="0" w:line="240" w:lineRule="auto"/>
              <w:rPr>
                <w:rFonts w:ascii="Arial" w:eastAsia="Times New Roman" w:hAnsi="Arial" w:cs="Arial"/>
                <w:b/>
                <w:bCs/>
                <w:color w:val="202124"/>
                <w:sz w:val="13"/>
                <w:szCs w:val="13"/>
                <w:lang w:eastAsia="fr-FR"/>
              </w:rPr>
            </w:pPr>
            <w:r>
              <w:rPr>
                <w:rFonts w:ascii="Arial" w:eastAsia="Times New Roman" w:hAnsi="Arial" w:cs="Arial"/>
                <w:b/>
                <w:bCs/>
                <w:color w:val="202124"/>
                <w:sz w:val="13"/>
                <w:szCs w:val="13"/>
                <w:lang w:eastAsia="fr-FR"/>
              </w:rPr>
              <w:lastRenderedPageBreak/>
              <w:t>Lettres</w:t>
            </w:r>
          </w:p>
        </w:tc>
        <w:tc>
          <w:tcPr>
            <w:tcW w:w="0" w:type="auto"/>
            <w:shd w:val="clear" w:color="auto" w:fill="FFFFFF"/>
            <w:tcMar>
              <w:top w:w="75" w:type="dxa"/>
              <w:left w:w="94" w:type="dxa"/>
              <w:bottom w:w="75" w:type="dxa"/>
              <w:right w:w="94" w:type="dxa"/>
            </w:tcMar>
            <w:hideMark/>
          </w:tcPr>
          <w:p w:rsidR="00682892" w:rsidRDefault="00682892">
            <w:pPr>
              <w:spacing w:after="0" w:line="240" w:lineRule="auto"/>
              <w:rPr>
                <w:rFonts w:ascii="Arial" w:eastAsia="Times New Roman" w:hAnsi="Arial" w:cs="Arial"/>
                <w:b/>
                <w:bCs/>
                <w:color w:val="202124"/>
                <w:sz w:val="13"/>
                <w:szCs w:val="13"/>
                <w:lang w:eastAsia="fr-FR"/>
              </w:rPr>
            </w:pPr>
            <w:r>
              <w:rPr>
                <w:rFonts w:ascii="Arial" w:eastAsia="Times New Roman" w:hAnsi="Arial" w:cs="Arial"/>
                <w:b/>
                <w:bCs/>
                <w:color w:val="202124"/>
                <w:sz w:val="13"/>
                <w:szCs w:val="13"/>
                <w:lang w:eastAsia="fr-FR"/>
              </w:rPr>
              <w:t>Mnémoniques</w:t>
            </w:r>
          </w:p>
        </w:tc>
        <w:tc>
          <w:tcPr>
            <w:tcW w:w="0" w:type="auto"/>
            <w:shd w:val="clear" w:color="auto" w:fill="FFFFFF"/>
            <w:tcMar>
              <w:top w:w="75" w:type="dxa"/>
              <w:left w:w="0" w:type="dxa"/>
              <w:bottom w:w="75" w:type="dxa"/>
              <w:right w:w="15" w:type="dxa"/>
            </w:tcMar>
            <w:hideMark/>
          </w:tcPr>
          <w:p w:rsidR="00682892" w:rsidRDefault="00682892">
            <w:pPr>
              <w:spacing w:after="0" w:line="240" w:lineRule="auto"/>
              <w:rPr>
                <w:rFonts w:ascii="Arial" w:eastAsia="Times New Roman" w:hAnsi="Arial" w:cs="Arial"/>
                <w:b/>
                <w:bCs/>
                <w:color w:val="202124"/>
                <w:sz w:val="13"/>
                <w:szCs w:val="13"/>
                <w:lang w:eastAsia="fr-FR"/>
              </w:rPr>
            </w:pPr>
            <w:r>
              <w:rPr>
                <w:rFonts w:ascii="Arial" w:eastAsia="Times New Roman" w:hAnsi="Arial" w:cs="Arial"/>
                <w:b/>
                <w:bCs/>
                <w:color w:val="202124"/>
                <w:sz w:val="13"/>
                <w:szCs w:val="13"/>
                <w:lang w:eastAsia="fr-FR"/>
              </w:rPr>
              <w:t>Code international</w:t>
            </w:r>
          </w:p>
        </w:tc>
      </w:tr>
      <w:tr w:rsidR="00682892" w:rsidTr="00682892">
        <w:trPr>
          <w:trHeight w:val="243"/>
        </w:trPr>
        <w:tc>
          <w:tcPr>
            <w:tcW w:w="0" w:type="auto"/>
            <w:shd w:val="clear" w:color="auto" w:fill="FFFFFF"/>
            <w:tcMar>
              <w:top w:w="75" w:type="dxa"/>
              <w:left w:w="0"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A (a)</w:t>
            </w:r>
          </w:p>
        </w:tc>
        <w:tc>
          <w:tcPr>
            <w:tcW w:w="0" w:type="auto"/>
            <w:shd w:val="clear" w:color="auto" w:fill="FFFFFF"/>
            <w:tcMar>
              <w:top w:w="75" w:type="dxa"/>
              <w:left w:w="94"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A, ET</w:t>
            </w:r>
          </w:p>
        </w:tc>
        <w:tc>
          <w:tcPr>
            <w:tcW w:w="0" w:type="auto"/>
            <w:shd w:val="clear" w:color="auto" w:fill="FFFFFF"/>
            <w:tcMar>
              <w:top w:w="75" w:type="dxa"/>
              <w:left w:w="0" w:type="dxa"/>
              <w:bottom w:w="75" w:type="dxa"/>
              <w:right w:w="15"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w:t>
            </w:r>
          </w:p>
        </w:tc>
      </w:tr>
      <w:tr w:rsidR="00682892" w:rsidTr="00682892">
        <w:trPr>
          <w:trHeight w:val="243"/>
        </w:trPr>
        <w:tc>
          <w:tcPr>
            <w:tcW w:w="0" w:type="auto"/>
            <w:shd w:val="clear" w:color="auto" w:fill="FFFFFF"/>
            <w:tcMar>
              <w:top w:w="75" w:type="dxa"/>
              <w:left w:w="0"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B (b)</w:t>
            </w:r>
          </w:p>
        </w:tc>
        <w:tc>
          <w:tcPr>
            <w:tcW w:w="0" w:type="auto"/>
            <w:shd w:val="clear" w:color="auto" w:fill="FFFFFF"/>
            <w:tcMar>
              <w:top w:w="75" w:type="dxa"/>
              <w:left w:w="94"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B, DE, NI, TS</w:t>
            </w:r>
          </w:p>
        </w:tc>
        <w:tc>
          <w:tcPr>
            <w:tcW w:w="0" w:type="auto"/>
            <w:shd w:val="clear" w:color="auto" w:fill="FFFFFF"/>
            <w:tcMar>
              <w:top w:w="75" w:type="dxa"/>
              <w:left w:w="0" w:type="dxa"/>
              <w:bottom w:w="75" w:type="dxa"/>
              <w:right w:w="15"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xml:space="preserve">▄▄▄ ▄ </w:t>
            </w:r>
            <w:proofErr w:type="spellStart"/>
            <w:r>
              <w:rPr>
                <w:rFonts w:ascii="Arial" w:eastAsia="Times New Roman" w:hAnsi="Arial" w:cs="Arial"/>
                <w:b/>
                <w:bCs/>
                <w:color w:val="202124"/>
                <w:sz w:val="13"/>
                <w:szCs w:val="13"/>
                <w:lang w:eastAsia="fr-FR"/>
              </w:rPr>
              <w:t>▄</w:t>
            </w:r>
            <w:proofErr w:type="spellEnd"/>
            <w:r>
              <w:rPr>
                <w:rFonts w:ascii="Arial" w:eastAsia="Times New Roman" w:hAnsi="Arial" w:cs="Arial"/>
                <w:b/>
                <w:bCs/>
                <w:color w:val="202124"/>
                <w:sz w:val="13"/>
                <w:szCs w:val="13"/>
                <w:lang w:eastAsia="fr-FR"/>
              </w:rPr>
              <w:t xml:space="preserve"> </w:t>
            </w:r>
            <w:proofErr w:type="spellStart"/>
            <w:r>
              <w:rPr>
                <w:rFonts w:ascii="Arial" w:eastAsia="Times New Roman" w:hAnsi="Arial" w:cs="Arial"/>
                <w:b/>
                <w:bCs/>
                <w:color w:val="202124"/>
                <w:sz w:val="13"/>
                <w:szCs w:val="13"/>
                <w:lang w:eastAsia="fr-FR"/>
              </w:rPr>
              <w:t>▄</w:t>
            </w:r>
            <w:proofErr w:type="spellEnd"/>
          </w:p>
        </w:tc>
      </w:tr>
      <w:tr w:rsidR="00682892" w:rsidTr="00682892">
        <w:trPr>
          <w:trHeight w:val="243"/>
        </w:trPr>
        <w:tc>
          <w:tcPr>
            <w:tcW w:w="0" w:type="auto"/>
            <w:shd w:val="clear" w:color="auto" w:fill="FFFFFF"/>
            <w:tcMar>
              <w:top w:w="75" w:type="dxa"/>
              <w:left w:w="0"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C (c)</w:t>
            </w:r>
          </w:p>
        </w:tc>
        <w:tc>
          <w:tcPr>
            <w:tcW w:w="0" w:type="auto"/>
            <w:shd w:val="clear" w:color="auto" w:fill="FFFFFF"/>
            <w:tcMar>
              <w:top w:w="75" w:type="dxa"/>
              <w:left w:w="94"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C, KE, NN, TR</w:t>
            </w:r>
          </w:p>
        </w:tc>
        <w:tc>
          <w:tcPr>
            <w:tcW w:w="0" w:type="auto"/>
            <w:shd w:val="clear" w:color="auto" w:fill="FFFFFF"/>
            <w:tcMar>
              <w:top w:w="75" w:type="dxa"/>
              <w:left w:w="0" w:type="dxa"/>
              <w:bottom w:w="75" w:type="dxa"/>
              <w:right w:w="15"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 ▄▄▄ ▄</w:t>
            </w:r>
          </w:p>
        </w:tc>
      </w:tr>
      <w:tr w:rsidR="00682892" w:rsidTr="00682892">
        <w:trPr>
          <w:trHeight w:val="243"/>
        </w:trPr>
        <w:tc>
          <w:tcPr>
            <w:tcW w:w="0" w:type="auto"/>
            <w:shd w:val="clear" w:color="auto" w:fill="FFFFFF"/>
            <w:tcMar>
              <w:top w:w="75" w:type="dxa"/>
              <w:left w:w="0"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D (d)</w:t>
            </w:r>
          </w:p>
        </w:tc>
        <w:tc>
          <w:tcPr>
            <w:tcW w:w="0" w:type="auto"/>
            <w:shd w:val="clear" w:color="auto" w:fill="FFFFFF"/>
            <w:tcMar>
              <w:top w:w="75" w:type="dxa"/>
              <w:left w:w="94" w:type="dxa"/>
              <w:bottom w:w="75" w:type="dxa"/>
              <w:right w:w="94"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D, NE, TI</w:t>
            </w:r>
          </w:p>
        </w:tc>
        <w:tc>
          <w:tcPr>
            <w:tcW w:w="0" w:type="auto"/>
            <w:shd w:val="clear" w:color="auto" w:fill="FFFFFF"/>
            <w:tcMar>
              <w:top w:w="75" w:type="dxa"/>
              <w:left w:w="0" w:type="dxa"/>
              <w:bottom w:w="75" w:type="dxa"/>
              <w:right w:w="15" w:type="dxa"/>
            </w:tcMar>
            <w:vAlign w:val="center"/>
            <w:hideMark/>
          </w:tcPr>
          <w:p w:rsidR="00682892" w:rsidRDefault="00682892">
            <w:pPr>
              <w:spacing w:after="0" w:line="240" w:lineRule="auto"/>
              <w:rPr>
                <w:rFonts w:ascii="Arial" w:eastAsia="Times New Roman" w:hAnsi="Arial" w:cs="Arial"/>
                <w:color w:val="202124"/>
                <w:sz w:val="13"/>
                <w:szCs w:val="13"/>
                <w:lang w:eastAsia="fr-FR"/>
              </w:rPr>
            </w:pPr>
            <w:r>
              <w:rPr>
                <w:rFonts w:ascii="Arial" w:eastAsia="Times New Roman" w:hAnsi="Arial" w:cs="Arial"/>
                <w:b/>
                <w:bCs/>
                <w:color w:val="202124"/>
                <w:sz w:val="13"/>
                <w:szCs w:val="13"/>
                <w:lang w:eastAsia="fr-FR"/>
              </w:rPr>
              <w:t xml:space="preserve">▄▄▄ ▄ </w:t>
            </w:r>
            <w:proofErr w:type="spellStart"/>
            <w:r>
              <w:rPr>
                <w:rFonts w:ascii="Arial" w:eastAsia="Times New Roman" w:hAnsi="Arial" w:cs="Arial"/>
                <w:b/>
                <w:bCs/>
                <w:color w:val="202124"/>
                <w:sz w:val="13"/>
                <w:szCs w:val="13"/>
                <w:lang w:eastAsia="fr-FR"/>
              </w:rPr>
              <w:t>▄</w:t>
            </w:r>
            <w:proofErr w:type="spellEnd"/>
          </w:p>
        </w:tc>
      </w:tr>
    </w:tbl>
    <w:p w:rsidR="00682892" w:rsidRDefault="00682892" w:rsidP="00682892">
      <w:pPr>
        <w:jc w:val="both"/>
        <w:rPr>
          <w:rFonts w:asciiTheme="majorBidi" w:hAnsiTheme="majorBidi" w:cstheme="majorBidi"/>
        </w:rPr>
      </w:pPr>
      <w:r>
        <w:rPr>
          <w:rFonts w:asciiTheme="majorBidi" w:hAnsiTheme="majorBidi" w:cstheme="majorBidi"/>
        </w:rPr>
        <w:t xml:space="preserve">, qui requiert quarante semaines, c’est-à-dire presque dix mois. Les résultats indiquent une montée rapide de la performance suivie d’un plateau interprété comme les limites biologiques (Figure). </w:t>
      </w:r>
    </w:p>
    <w:p w:rsidR="00682892" w:rsidRDefault="00682892" w:rsidP="00682892">
      <w:pPr>
        <w:jc w:val="both"/>
        <w:rPr>
          <w:rFonts w:asciiTheme="majorBidi" w:hAnsiTheme="majorBidi" w:cstheme="majorBidi"/>
        </w:rPr>
      </w:pPr>
      <w:r>
        <w:rPr>
          <w:rFonts w:asciiTheme="majorBidi" w:hAnsiTheme="majorBidi" w:cstheme="majorBidi"/>
          <w:noProof/>
          <w:lang w:eastAsia="fr-FR"/>
        </w:rPr>
        <w:drawing>
          <wp:inline distT="0" distB="0" distL="0" distR="0">
            <wp:extent cx="4800600" cy="25717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4800600" cy="2571750"/>
                    </a:xfrm>
                    <a:prstGeom prst="rect">
                      <a:avLst/>
                    </a:prstGeom>
                    <a:noFill/>
                    <a:ln w="9525">
                      <a:noFill/>
                      <a:miter lim="800000"/>
                      <a:headEnd/>
                      <a:tailEnd/>
                    </a:ln>
                  </pic:spPr>
                </pic:pic>
              </a:graphicData>
            </a:graphic>
          </wp:inline>
        </w:drawing>
      </w:r>
    </w:p>
    <w:p w:rsidR="00682892" w:rsidRDefault="00682892" w:rsidP="00682892">
      <w:pPr>
        <w:jc w:val="both"/>
        <w:rPr>
          <w:rFonts w:asciiTheme="majorBidi" w:hAnsiTheme="majorBidi" w:cstheme="majorBidi"/>
        </w:rPr>
      </w:pPr>
      <w:r>
        <w:rPr>
          <w:rFonts w:asciiTheme="majorBidi" w:hAnsiTheme="majorBidi" w:cstheme="majorBidi"/>
          <w:b/>
          <w:bCs/>
        </w:rPr>
        <w:t>Figure :</w:t>
      </w:r>
      <w:r>
        <w:rPr>
          <w:rFonts w:asciiTheme="majorBidi" w:hAnsiTheme="majorBidi" w:cstheme="majorBidi"/>
        </w:rPr>
        <w:t xml:space="preserve"> </w:t>
      </w:r>
      <w:r w:rsidRPr="00682892">
        <w:rPr>
          <w:rFonts w:asciiTheme="majorBidi" w:hAnsiTheme="majorBidi" w:cstheme="majorBidi"/>
          <w:i/>
          <w:iCs/>
        </w:rPr>
        <w:t xml:space="preserve">Apprentissage de la télégraphie (envoi de lettres ou de phrases reliées) (d’après Bryan et </w:t>
      </w:r>
      <w:proofErr w:type="spellStart"/>
      <w:r w:rsidRPr="00682892">
        <w:rPr>
          <w:rFonts w:asciiTheme="majorBidi" w:hAnsiTheme="majorBidi" w:cstheme="majorBidi"/>
          <w:i/>
          <w:iCs/>
        </w:rPr>
        <w:t>Harter</w:t>
      </w:r>
      <w:proofErr w:type="spellEnd"/>
      <w:r w:rsidRPr="00682892">
        <w:rPr>
          <w:rFonts w:asciiTheme="majorBidi" w:hAnsiTheme="majorBidi" w:cstheme="majorBidi"/>
          <w:i/>
          <w:iCs/>
        </w:rPr>
        <w:t xml:space="preserve"> ; </w:t>
      </w:r>
      <w:proofErr w:type="spellStart"/>
      <w:r w:rsidRPr="00682892">
        <w:rPr>
          <w:rFonts w:asciiTheme="majorBidi" w:hAnsiTheme="majorBidi" w:cstheme="majorBidi"/>
          <w:i/>
          <w:iCs/>
        </w:rPr>
        <w:t>cit</w:t>
      </w:r>
      <w:proofErr w:type="spellEnd"/>
      <w:r w:rsidRPr="00682892">
        <w:rPr>
          <w:rFonts w:asciiTheme="majorBidi" w:hAnsiTheme="majorBidi" w:cstheme="majorBidi"/>
          <w:i/>
          <w:iCs/>
        </w:rPr>
        <w:t xml:space="preserve">. </w:t>
      </w:r>
      <w:proofErr w:type="spellStart"/>
      <w:r w:rsidRPr="00682892">
        <w:rPr>
          <w:rFonts w:asciiTheme="majorBidi" w:hAnsiTheme="majorBidi" w:cstheme="majorBidi"/>
          <w:i/>
          <w:iCs/>
        </w:rPr>
        <w:t>Munn</w:t>
      </w:r>
      <w:proofErr w:type="spellEnd"/>
      <w:r w:rsidRPr="00682892">
        <w:rPr>
          <w:rFonts w:asciiTheme="majorBidi" w:hAnsiTheme="majorBidi" w:cstheme="majorBidi"/>
          <w:i/>
          <w:iCs/>
        </w:rPr>
        <w:t>, 1956).</w:t>
      </w:r>
    </w:p>
    <w:p w:rsidR="00682892" w:rsidRDefault="00682892" w:rsidP="00682892">
      <w:pPr>
        <w:jc w:val="right"/>
        <w:rPr>
          <w:b/>
          <w:bCs/>
          <w:sz w:val="40"/>
          <w:szCs w:val="40"/>
        </w:rPr>
      </w:pPr>
    </w:p>
    <w:p w:rsidR="00682892" w:rsidRDefault="00682892" w:rsidP="00682892">
      <w:pPr>
        <w:jc w:val="right"/>
        <w:rPr>
          <w:b/>
          <w:bCs/>
          <w:sz w:val="40"/>
          <w:szCs w:val="40"/>
        </w:rPr>
      </w:pPr>
    </w:p>
    <w:p w:rsidR="00682892" w:rsidRDefault="00682892" w:rsidP="00682892">
      <w:pPr>
        <w:jc w:val="right"/>
        <w:rPr>
          <w:b/>
          <w:bCs/>
          <w:sz w:val="40"/>
          <w:szCs w:val="40"/>
        </w:rPr>
      </w:pPr>
      <w:r>
        <w:rPr>
          <w:b/>
          <w:bCs/>
          <w:sz w:val="40"/>
          <w:szCs w:val="40"/>
        </w:rPr>
        <w:t>…/…</w:t>
      </w:r>
    </w:p>
    <w:p w:rsidR="00947CB1" w:rsidRDefault="00947CB1"/>
    <w:sectPr w:rsidR="00947CB1" w:rsidSect="00947C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6B"/>
    <w:multiLevelType w:val="hybridMultilevel"/>
    <w:tmpl w:val="6B46F960"/>
    <w:lvl w:ilvl="0" w:tplc="4F8C43E0">
      <w:start w:val="4"/>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C36306F"/>
    <w:multiLevelType w:val="hybridMultilevel"/>
    <w:tmpl w:val="9AD2D3A2"/>
    <w:lvl w:ilvl="0" w:tplc="040C0001">
      <w:start w:val="1"/>
      <w:numFmt w:val="bullet"/>
      <w:lvlText w:val=""/>
      <w:lvlJc w:val="left"/>
      <w:pPr>
        <w:ind w:left="16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47C142C"/>
    <w:multiLevelType w:val="hybridMultilevel"/>
    <w:tmpl w:val="3BC2D82C"/>
    <w:lvl w:ilvl="0" w:tplc="9ACE7870">
      <w:start w:val="1"/>
      <w:numFmt w:val="lowerLetter"/>
      <w:lvlText w:val="%1."/>
      <w:lvlJc w:val="left"/>
      <w:pPr>
        <w:ind w:left="720" w:hanging="360"/>
      </w:pPr>
      <w:rPr>
        <w:rFonts w:ascii="Arial" w:eastAsiaTheme="minorHAnsi" w:hAnsi="Arial" w:cs="Arial"/>
        <w:b/>
        <w:color w:val="00353D"/>
        <w:sz w:val="17"/>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43DA50C3"/>
    <w:multiLevelType w:val="multilevel"/>
    <w:tmpl w:val="350ECBE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32B2933"/>
    <w:multiLevelType w:val="multilevel"/>
    <w:tmpl w:val="D9AA049A"/>
    <w:lvl w:ilvl="0">
      <w:start w:val="1"/>
      <w:numFmt w:val="decimal"/>
      <w:lvlText w:val="%1."/>
      <w:lvlJc w:val="left"/>
      <w:pPr>
        <w:ind w:left="720" w:hanging="360"/>
      </w:pPr>
      <w:rPr>
        <w:b/>
        <w:bCs/>
        <w:sz w:val="28"/>
        <w:szCs w:val="28"/>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5F76042"/>
    <w:multiLevelType w:val="multilevel"/>
    <w:tmpl w:val="BC7C5F8A"/>
    <w:lvl w:ilvl="0">
      <w:start w:val="5"/>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b/>
        <w:bCs/>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682892"/>
    <w:rsid w:val="00360F6B"/>
    <w:rsid w:val="00682892"/>
    <w:rsid w:val="00947CB1"/>
    <w:rsid w:val="00E63DEC"/>
    <w:rsid w:val="00EC1BB5"/>
    <w:rsid w:val="00EF31F2"/>
    <w:rsid w:val="00F615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92"/>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2892"/>
    <w:pPr>
      <w:ind w:left="720"/>
      <w:contextualSpacing/>
    </w:pPr>
  </w:style>
  <w:style w:type="character" w:styleId="lev">
    <w:name w:val="Strong"/>
    <w:basedOn w:val="Policepardfaut"/>
    <w:uiPriority w:val="22"/>
    <w:qFormat/>
    <w:rsid w:val="00682892"/>
    <w:rPr>
      <w:b/>
      <w:bCs/>
    </w:rPr>
  </w:style>
  <w:style w:type="paragraph" w:styleId="Textedebulles">
    <w:name w:val="Balloon Text"/>
    <w:basedOn w:val="Normal"/>
    <w:link w:val="TextedebullesCar"/>
    <w:uiPriority w:val="99"/>
    <w:semiHidden/>
    <w:unhideWhenUsed/>
    <w:rsid w:val="006828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2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1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581</Words>
  <Characters>3197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 touch</dc:creator>
  <cp:lastModifiedBy>Magic touch</cp:lastModifiedBy>
  <cp:revision>2</cp:revision>
  <dcterms:created xsi:type="dcterms:W3CDTF">2024-04-14T19:43:00Z</dcterms:created>
  <dcterms:modified xsi:type="dcterms:W3CDTF">2024-04-14T19:59:00Z</dcterms:modified>
</cp:coreProperties>
</file>