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</w:t>
      </w:r>
      <w:r w:rsidRPr="000770A7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Pr="000770A7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 مدخل مفاهيمي : عن المنهج والتحليل</w:t>
      </w:r>
    </w:p>
    <w:p w:rsidR="00064BB0" w:rsidRDefault="00064BB0" w:rsidP="00064BB0">
      <w:pPr>
        <w:pStyle w:val="Paragraphedeliste"/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</w:rPr>
      </w:pPr>
    </w:p>
    <w:p w:rsidR="00064BB0" w:rsidRPr="000770A7" w:rsidRDefault="00064BB0" w:rsidP="00064BB0">
      <w:pPr>
        <w:pStyle w:val="Paragraphedeliste"/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1-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مفهوم المنهج : </w:t>
      </w:r>
    </w:p>
    <w:p w:rsidR="00064BB0" w:rsidRPr="000770A7" w:rsidRDefault="00064BB0" w:rsidP="00064BB0">
      <w:pPr>
        <w:pStyle w:val="Paragraphedeliste"/>
        <w:bidi/>
        <w:spacing w:line="480" w:lineRule="auto"/>
        <w:ind w:left="568" w:right="-28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المنهج لغة هو الطريقة التي يسلكها المرء بغية الوصول إلى غاية معينة ، و هو السبيل </w:t>
      </w:r>
      <w:r>
        <w:rPr>
          <w:rFonts w:asciiTheme="majorBidi" w:hAnsiTheme="majorBidi" w:cstheme="majorBidi" w:hint="cs"/>
          <w:sz w:val="32"/>
          <w:szCs w:val="32"/>
          <w:rtl/>
        </w:rPr>
        <w:t>ا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لذي يُتدرج عبره للوصول إلى الهدف و البغية.يقال  " نهج الطريقُ ـَ نهجاً : وضَح واستبان ، ونهج الطريقَ : بيّنه ، وسلكه ، ويقال : نهج نهْج فلان : سلك مسلكه ، وانتهج الطريقَ : استبانه وسلكه ، و استنهج سبيل فلان : سلك مسلكه ، والمِنْهاج : الطريق الواضح والخطّة المرسومة ، ومنه : منهاج الدراسة ، ومنهاج التعليم ونحوهما ، (ج ) مناهج ، والمنهج : المنهاج ( ج )مناهج .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2"/>
        <w:t>(1)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أما اصطلاحا فالمنهج يرتبط كما نعلم بالطريقة العلمية – العقلية التي يسلكها الدارس أثناء تحليل ظاهرة أو مجتمع أو نص. و لعل الفضل في التأسيس لهذا المفهوم يعود إلى ديكارت في كتابه "مقال المنهج ".حيث كان التركيز على قضيتي العقل و التجريب  لتحقيق فهم أمثل للأشياء.و كان مبدأ ديكارت الأساسي  الشك للوصول إلى اليقين ، و لهذا التفكير الديكارتي " سمة أساسية و هي أنه لا يقبل القضايا على علاتها انطلاقا من شيوعها و انتشارها ، بل إنه يختبرها و يدلل عليها بالوسائل التي تؤدي إلى سلامتها و صحتها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3"/>
        <w:t>(2)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064BB0" w:rsidRPr="000770A7" w:rsidRDefault="00064BB0" w:rsidP="00064BB0">
      <w:pPr>
        <w:pStyle w:val="Paragraphedeliste"/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</w:rPr>
      </w:pPr>
    </w:p>
    <w:p w:rsidR="00064BB0" w:rsidRPr="00D74739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770A7">
        <w:rPr>
          <w:rFonts w:asciiTheme="majorBidi" w:hAnsiTheme="majorBidi" w:cstheme="majorBidi"/>
          <w:sz w:val="32"/>
          <w:szCs w:val="32"/>
          <w:rtl/>
        </w:rPr>
        <w:lastRenderedPageBreak/>
        <w:t xml:space="preserve"> و المنهج في النقد الأدبي وليد مرحلة الحداثة التي أصرت على التفسير العلمي لكل الظواهر بما فيها الظاهرة الأدبية . إنه مجموعة الإجراءات و الآليات التي تحاول تفهم النص الأدبي و مكوناته، </w:t>
      </w:r>
      <w:r>
        <w:rPr>
          <w:rFonts w:asciiTheme="majorBidi" w:hAnsiTheme="majorBidi" w:cstheme="majorBidi"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sz w:val="32"/>
          <w:szCs w:val="32"/>
          <w:rtl/>
        </w:rPr>
        <w:t>إ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تباع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مجموعة من الخطوات الموضوعية التي تختلف باختلاف المناهج .  غير أن هذا لا يعني في النهاية أن المنهج " مجرد وسيلة للبحث عن المعرفة و فحصها ، أي مجرد خطة مضبوطة بمقاييس و قواعد و طرق تساعد على الوصول إلى الحقيقة ، و تقديم الدليل عليها . هذه مجرد أدوات إجرائية و هي لا تمثل إلا جانبا واحدا من المنهج ، الجانب المرئي من المنهج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4"/>
        <w:t>(3)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إن المنهج أبعد من هذا هو " منظومة متكاملة تبدأ بالوعي و الرؤيا المشكلتين لروح المنهج و كنهه اللامرئي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5"/>
        <w:t>(4)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و لهذا تختلف القراءات التطبيقية للنصوص من قارئ إلى آخر حتى و هما يطبقان المنهج نفسه.إن الفعالية النقدية عموما تقوم " على اعتبار أن الآثار الأدبية غير كاملة التحقق في مقابل الإبداع الشعري الذي يظهر الطبيعة بوصفها أيضا غير كاملة التحقق"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6"/>
        <w:t>(5)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.  و الواقع أن الثقافات المختلفة طرحت دائما إشكالية تطبيق المنهج العلمي في العلوم الإنسانية و منها الأدب، و كان السؤال الجوهري دائما: هل يمكن بحق أن يصير النقد علما ؟ </w:t>
      </w: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 w:rsidRPr="000770A7">
        <w:rPr>
          <w:rFonts w:asciiTheme="majorBidi" w:hAnsiTheme="majorBidi" w:cstheme="majorBidi"/>
          <w:sz w:val="32"/>
          <w:szCs w:val="32"/>
          <w:rtl/>
        </w:rPr>
        <w:t>و لعل الإجابة على مثل هذا السؤال تختلف باختلاف التيارات الأدبية و القناعات الفكرية للنقاد ، ففي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النقد العربي مثلا  يذهب محمد منذور إلى أن  قوام النقد هو الذوق </w:t>
      </w:r>
      <w:r w:rsidRPr="000770A7">
        <w:rPr>
          <w:rFonts w:asciiTheme="majorBidi" w:hAnsiTheme="majorBidi" w:cstheme="majorBidi"/>
          <w:sz w:val="32"/>
          <w:szCs w:val="32"/>
          <w:rtl/>
        </w:rPr>
        <w:lastRenderedPageBreak/>
        <w:t xml:space="preserve">، " الذوق المعلل في حدود الممكن"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7"/>
        <w:t>(6)</w:t>
      </w:r>
      <w:r w:rsidRPr="000770A7">
        <w:rPr>
          <w:rFonts w:asciiTheme="majorBidi" w:hAnsiTheme="majorBidi" w:cstheme="majorBidi"/>
          <w:sz w:val="32"/>
          <w:szCs w:val="32"/>
          <w:rtl/>
        </w:rPr>
        <w:t>فلا ضير أن يستفيد الناقد من المعارف المختلفة أثناء قراءته للنصوص و لكن القول الفصل في الأدب و النقد يعود إلى التذوق ، تلك الحاسة السحرية التي تقدر وحدها على ملامسة الجميل و الجمالي في الأشياء. و على خلاف ذلك يذهب زكي نجيب محمود إلى أن النقد علم و مرجعه العقل المحكوم بالضوابط المنهجية الصارمة ،  لا الذوق الفردي الذي يسهم في نشر الفوضى النقدية و لا يفيد النقد في شيء.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8"/>
        <w:t>(7)</w:t>
      </w:r>
      <w:r w:rsidRPr="000770A7">
        <w:rPr>
          <w:rFonts w:asciiTheme="majorBidi" w:hAnsiTheme="majorBidi" w:cstheme="majorBidi"/>
          <w:sz w:val="32"/>
          <w:szCs w:val="32"/>
          <w:rtl/>
        </w:rPr>
        <w:t>و الواقع أن زكي نجيب محمود متأثر بالحركات العلمية التي ظهرت في أوروبا مع مرحلة الحداثة التي كان من نتائجها ظهور المناهج النقدية التي تتشدق بالعلمية المطلقة . و سنقف فيما يأتي عند مصطلح الحداثه بدوره.</w:t>
      </w: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 w:rsidRPr="000770A7">
        <w:rPr>
          <w:rFonts w:asciiTheme="majorBidi" w:hAnsiTheme="majorBidi" w:cstheme="majorBidi"/>
          <w:sz w:val="32"/>
          <w:szCs w:val="32"/>
          <w:rtl/>
        </w:rPr>
        <w:t xml:space="preserve">مفهوم الحداثة : الحداثة لغويا من " حدث الشيء حدوثا و حداثة و أحدثه فهو محدث و حديث و كذلك استحداثه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9"/>
        <w:t>(8)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 و لقد ارتبطت تاريخيا بعصور التنوير الأوروبية التي آمنت بالتفسير العقلي للأشياء فثار رواد التنوير على سلطة الكنيسة ممجدين العقل و رافضين كل تفسير غيبي للظواهر و الأشياء .كما ارتبطت الحداثة مفهوميا بحركات القطيعة و المفارقة و ابتداع النمط " الخاص" في التفكير و الكتابة و العيش . يقول جان بودريار "ليست الحداثة مفهوما سوسيولوجيا أو مفهوما تاريخيا بحصر المعنى ، و إنما هي صيغة مميزة للحضارة تعارض صيغة التقليد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10"/>
        <w:t>(9)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و تشمل هذه المعارضة الجانب التقني و الاقتصادي و السياسي و الاجتماعي و الفلسفي و الأدبي ...إلخ. و لعل الميزة الأولى للحداثة في هذا المستوى هي الذاتية أي " مركزية و مرجعية الذات </w:t>
      </w:r>
      <w:r w:rsidRPr="000770A7">
        <w:rPr>
          <w:rFonts w:asciiTheme="majorBidi" w:hAnsiTheme="majorBidi" w:cstheme="majorBidi"/>
          <w:sz w:val="32"/>
          <w:szCs w:val="32"/>
          <w:rtl/>
        </w:rPr>
        <w:lastRenderedPageBreak/>
        <w:t>الإنسانية و فاعليتها و حريتها و شفافيتها و عقلانيتها "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11"/>
        <w:t>(10)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و تتحقق هذه المركزية و تلك الفاعلية بطبيعة الحال في الفضاء المقابل لفضاء الجماعي و المشترك و المألوف ، إذ تتخلى الذات عن هامشيتها ( و هي هامشية تفرضها مركزية الرؤية الجماعية ) لتحتل المركز : مركزية الرؤية ، مركزية البصمة  و مركزية الفعل الإبداعي ، فتجانب المعيار الذي هو اتفاق ضمني جماعي و تقول الخاص الذي هو وعي جمالي فكري جديد . و تبدو الحداثة بهذه الصيغة " كما لو كانت حالة تحد مستمر و جدلي في المهام التي يطرحها عليها تطور المجتمع و العالم ...إنها أقرب إلى أن تكون في كل مرة قطيعة مع ما سبق و استتب نموذجا تقليديا ، إنها تحول و خروج عن السائد و المألوف " </w:t>
      </w:r>
      <w:r w:rsidRPr="000770A7">
        <w:rPr>
          <w:rStyle w:val="Appelnotedebasdep"/>
          <w:rFonts w:asciiTheme="majorBidi" w:hAnsiTheme="majorBidi" w:cstheme="majorBidi"/>
          <w:sz w:val="32"/>
          <w:szCs w:val="32"/>
        </w:rPr>
        <w:footnoteReference w:customMarkFollows="1" w:id="12"/>
        <w:t>(11)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و الحقيقة أن هذه الخصوصيات الحداثوية لا تتعلق بزمن دون آخر ، بل قد نجد نصوصا بعيدة في التاريخ تفارق تاريخها بشكل خلاق و تتمتع بهذه المواصفات أو ببعضها على الأقل و على العكس من ذلك قد نجد نصوصا حديثة زمنيا لكنها تفارق أيضا تاريخها بشكل انكساري فتختبئ في جمالية الماضي البعيد الماضي المقدس بالضرورة مما يفقدها روح الإبداع .  و على العموم فالحداثة النقدية انقلبت على تاريخ التلقي الذي كان غالبا انطباعيا مشدودا إلى الأشكال الإبداعية التي ترسخ النموذج السائد ، و شددت على القراءة العقلية التي تتسلح بالصرامة المنهجية فشاعت بذلك النظريات التي تؤسس لعلمنة النقد و لعل تلك الجهود اكتملت مع النقد البنيوي الذي مثل قمة التشدق بالموضوعية و العلمية.  </w:t>
      </w: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 w:rsidRPr="000770A7">
        <w:rPr>
          <w:rFonts w:asciiTheme="majorBidi" w:hAnsiTheme="majorBidi" w:cstheme="majorBidi"/>
          <w:sz w:val="32"/>
          <w:szCs w:val="32"/>
          <w:rtl/>
        </w:rPr>
        <w:lastRenderedPageBreak/>
        <w:t>لكن هذا التحول المعرفي الذي أسس لمفهوم جديد للنقد الأدبي و انبثقت عنه مناهج عدة تقارب الظاهرة الأدبية قد طرح بالإضافة إلى إشكالية علمية النقد إشكالية أخرى ترتبط بالسؤال الآتي: بأي منهج نواجه النص؟ و بعبارة أخرى هل تصلح كل المناهج لكل النصوص أم أن النص هو الذي يفرض المنهج مما يعني أن لكل نص طبيعة خاصة تجذب إليه منهجا دون آخر؟ و الواقع أن الإجابة على مثل هذه الأسئلة تختلف ما بين مدع أ</w:t>
      </w:r>
      <w:r>
        <w:rPr>
          <w:rFonts w:asciiTheme="majorBidi" w:hAnsiTheme="majorBidi" w:cstheme="majorBidi"/>
          <w:sz w:val="32"/>
          <w:szCs w:val="32"/>
          <w:rtl/>
        </w:rPr>
        <w:t>ن المنهج بإجراءاته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70A7">
        <w:rPr>
          <w:rFonts w:asciiTheme="majorBidi" w:hAnsiTheme="majorBidi" w:cstheme="majorBidi"/>
          <w:sz w:val="32"/>
          <w:szCs w:val="32"/>
          <w:rtl/>
        </w:rPr>
        <w:t xml:space="preserve"> العلمية صالح لكل النصوص و بين اتجاهات أكثر ليونة تقر بكون النص صالحا لتطبيق آليات منهجية بعينها و لا يمكن أن يستجيب لآليات منهج آخر إلا من باب تعنيفه و إرغامه على قول ما لا يحتمل .و تضاف إلى هذه الإشكالية إشكالية أخرى في الثقافة العربية تتعلق بسؤال الخصوصية : هل يمكن تطبيق هذه المناهج الغربية المنشأ على الأدب العربي الذي يمتلك خصوصيته المختلفة حتما عن خصوصيات الآداب الغربية ؟ يذهب سعد البازعي إلى أن الناقد العربي الذي يتعامل بهذه المناهج الغربية مضطر إما إلى تبني تلك المناهج كما هي  دون تحوير و في الغالب يؤدي ذلك إلى سوء فهم النص الأدبي العربي موضوع التحليل النقدي   و إما إلى إحداث تغيير جوهري في المنهج الغربي حبا بالنص العربي و في هذه الحالة سيفرغ المنهج من أصوله الفلسفية و المعرفية و يقدم خليطا منهجيا يصعب تصنيفه ،و لعل هذه الإشكالية كانت وراء انقسام الفكر العربي المعاصر إلى قسمين، قسم متحمس للحداثة الغربية متبن لمقولاتها بالجملة، و قسم رافض لها جملة و تفصيلا و باحث عن الحلول المعرفية في التراث النقدي العربي القديم .</w:t>
      </w: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</w:p>
    <w:p w:rsidR="00064BB0" w:rsidRPr="000770A7" w:rsidRDefault="00064BB0" w:rsidP="00064BB0">
      <w:pPr>
        <w:bidi/>
        <w:spacing w:line="480" w:lineRule="auto"/>
        <w:ind w:left="568"/>
        <w:rPr>
          <w:rFonts w:asciiTheme="majorBidi" w:hAnsiTheme="majorBidi" w:cstheme="majorBidi"/>
          <w:sz w:val="32"/>
          <w:szCs w:val="32"/>
          <w:rtl/>
        </w:rPr>
      </w:pPr>
      <w:r w:rsidRPr="000770A7">
        <w:rPr>
          <w:rFonts w:asciiTheme="majorBidi" w:hAnsiTheme="majorBidi" w:cstheme="majorBidi"/>
          <w:sz w:val="32"/>
          <w:szCs w:val="32"/>
          <w:rtl/>
        </w:rPr>
        <w:lastRenderedPageBreak/>
        <w:t xml:space="preserve">                     </w:t>
      </w:r>
    </w:p>
    <w:p w:rsidR="006446D7" w:rsidRDefault="006446D7"/>
    <w:sectPr w:rsidR="0064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6D7" w:rsidRDefault="006446D7" w:rsidP="00064BB0">
      <w:pPr>
        <w:spacing w:after="0" w:line="240" w:lineRule="auto"/>
      </w:pPr>
      <w:r>
        <w:separator/>
      </w:r>
    </w:p>
  </w:endnote>
  <w:endnote w:type="continuationSeparator" w:id="1">
    <w:p w:rsidR="006446D7" w:rsidRDefault="006446D7" w:rsidP="0006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6D7" w:rsidRDefault="006446D7" w:rsidP="00064BB0">
      <w:pPr>
        <w:spacing w:after="0" w:line="240" w:lineRule="auto"/>
      </w:pPr>
      <w:r>
        <w:separator/>
      </w:r>
    </w:p>
  </w:footnote>
  <w:footnote w:type="continuationSeparator" w:id="1">
    <w:p w:rsidR="006446D7" w:rsidRDefault="006446D7" w:rsidP="00064BB0">
      <w:pPr>
        <w:spacing w:after="0" w:line="240" w:lineRule="auto"/>
      </w:pPr>
      <w:r>
        <w:continuationSeparator/>
      </w:r>
    </w:p>
  </w:footnote>
  <w:footnote w:id="2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معجم الوجيز ، مجمع اللغة العربية ، القاهرة ، 1989، ص 636.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(1)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3">
    <w:p w:rsidR="00064BB0" w:rsidRPr="005C5FD3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D74739">
        <w:rPr>
          <w:rStyle w:val="Appelnotedebasdep"/>
          <w:rFonts w:ascii="Times New Roman" w:hAnsi="Times New Roman" w:cs="Times New Roman"/>
          <w:sz w:val="24"/>
          <w:szCs w:val="24"/>
          <w:rtl/>
        </w:rPr>
        <w:t>-</w:t>
      </w:r>
      <w:r w:rsidRPr="00D74739">
        <w:rPr>
          <w:rFonts w:ascii="Times New Roman" w:hAnsi="Times New Roman" w:cs="Times New Roman"/>
          <w:sz w:val="24"/>
          <w:szCs w:val="24"/>
          <w:rtl/>
        </w:rPr>
        <w:t xml:space="preserve"> ينظر صلاح فضل : مناهج النقد المعاصر ، دار الآفاق العربية ، القاهرة ، مصر ، ص09-</w:t>
      </w:r>
      <w:r w:rsidRPr="005C5FD3">
        <w:rPr>
          <w:rFonts w:ascii="Times New Roman" w:hAnsi="Times New Roman" w:cs="Times New Roman"/>
          <w:sz w:val="32"/>
          <w:szCs w:val="32"/>
          <w:rtl/>
        </w:rPr>
        <w:t>10.</w:t>
      </w:r>
      <w:r w:rsidRPr="005C5FD3">
        <w:rPr>
          <w:rStyle w:val="Appelnotedebasdep"/>
          <w:rFonts w:ascii="Times New Roman" w:hAnsi="Times New Roman" w:cs="Times New Roman"/>
          <w:sz w:val="32"/>
          <w:szCs w:val="32"/>
          <w:rtl/>
        </w:rPr>
        <w:t xml:space="preserve"> </w:t>
      </w:r>
      <w:r w:rsidRPr="005C5FD3">
        <w:rPr>
          <w:rStyle w:val="Appelnotedebasdep"/>
          <w:rFonts w:ascii="Times New Roman" w:hAnsi="Times New Roman" w:cs="Times New Roman"/>
          <w:sz w:val="32"/>
          <w:szCs w:val="32"/>
        </w:rPr>
        <w:t>(2)</w:t>
      </w:r>
      <w:r w:rsidRPr="005C5FD3">
        <w:rPr>
          <w:rFonts w:ascii="Times New Roman" w:hAnsi="Times New Roman" w:cs="Times New Roman"/>
          <w:sz w:val="32"/>
          <w:szCs w:val="32"/>
        </w:rPr>
        <w:t xml:space="preserve"> </w:t>
      </w:r>
    </w:p>
  </w:footnote>
  <w:footnote w:id="4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عباس الجراري : خطاب المنهج ، منشورات  الهلال العربية للطباعة  ، الرباط ، المغرب ، ط2 1995 ، ص 90-91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(3)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5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 xml:space="preserve"> - نفسه ن ص91.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(4)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6">
    <w:p w:rsidR="00064BB0" w:rsidRPr="00D74739" w:rsidRDefault="00064BB0" w:rsidP="00064BB0">
      <w:pPr>
        <w:pStyle w:val="Notedebasdepage"/>
        <w:ind w:right="-30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(5)</w:t>
      </w:r>
      <w:r w:rsidRPr="00D74739">
        <w:rPr>
          <w:rFonts w:ascii="Times New Roman" w:hAnsi="Times New Roman" w:cs="Times New Roman"/>
          <w:sz w:val="24"/>
          <w:szCs w:val="24"/>
        </w:rPr>
        <w:t xml:space="preserve"> –Jérome Roger : La critique Littéraire ,Armand Colin ,2013, p05.</w:t>
      </w:r>
    </w:p>
  </w:footnote>
  <w:footnote w:id="7">
    <w:p w:rsidR="00064BB0" w:rsidRPr="005C5FD3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محمد مندور : الأدب و فنونه ، دار نهضة مصر ، القاهرة ، مصر ، ص165.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(6</w:t>
      </w:r>
      <w:r w:rsidRPr="005C5FD3">
        <w:rPr>
          <w:rStyle w:val="Appelnotedebasdep"/>
          <w:rFonts w:ascii="Times New Roman" w:hAnsi="Times New Roman" w:cs="Times New Roman"/>
          <w:sz w:val="32"/>
          <w:szCs w:val="32"/>
        </w:rPr>
        <w:t>)</w:t>
      </w:r>
      <w:r w:rsidRPr="005C5FD3">
        <w:rPr>
          <w:rFonts w:ascii="Times New Roman" w:hAnsi="Times New Roman" w:cs="Times New Roman"/>
          <w:sz w:val="32"/>
          <w:szCs w:val="32"/>
        </w:rPr>
        <w:t xml:space="preserve"> </w:t>
      </w:r>
    </w:p>
  </w:footnote>
  <w:footnote w:id="8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ينظر زكي نجيب محمود : قشور و لباب ، دار الشروق ، القاهرة ، مصر ، 54 و ما بعدها.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 xml:space="preserve"> (7)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9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ابن منظور : لسان العرب ، المجلد2 ، دار صادر ، بيروت ، لبنان ، ط1 1955، ص131.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>(8)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0">
    <w:p w:rsidR="00064BB0" w:rsidRPr="00D74739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محمد برادة : اعتبارات نظرية لتحديد مفهوم الحداثة ، مجلة فصول ، القاهرة ، المجلد 4</w:t>
      </w:r>
      <w:r w:rsidRPr="00D74739">
        <w:rPr>
          <w:rFonts w:ascii="Times New Roman" w:hAnsi="Times New Roman" w:cs="Times New Roman" w:hint="cs"/>
          <w:sz w:val="24"/>
          <w:szCs w:val="24"/>
          <w:rtl/>
        </w:rPr>
        <w:t>،</w:t>
      </w:r>
      <w:r w:rsidRPr="00D74739">
        <w:rPr>
          <w:rFonts w:ascii="Times New Roman" w:hAnsi="Times New Roman" w:cs="Times New Roman"/>
          <w:sz w:val="24"/>
          <w:szCs w:val="24"/>
          <w:rtl/>
        </w:rPr>
        <w:t xml:space="preserve"> العدد2، ص </w:t>
      </w:r>
      <w:r>
        <w:rPr>
          <w:rFonts w:ascii="Times New Roman" w:hAnsi="Times New Roman" w:cs="Times New Roman" w:hint="cs"/>
          <w:sz w:val="24"/>
          <w:szCs w:val="24"/>
          <w:rtl/>
        </w:rPr>
        <w:t>1</w:t>
      </w:r>
      <w:r w:rsidRPr="00D74739">
        <w:rPr>
          <w:rFonts w:ascii="Times New Roman" w:hAnsi="Times New Roman" w:cs="Times New Roman"/>
          <w:sz w:val="24"/>
          <w:szCs w:val="24"/>
          <w:rtl/>
        </w:rPr>
        <w:t>2</w:t>
      </w:r>
      <w:r w:rsidRPr="00D74739">
        <w:rPr>
          <w:rStyle w:val="Appelnotedebasdep"/>
          <w:rFonts w:ascii="Times New Roman" w:hAnsi="Times New Roman" w:cs="Times New Roman"/>
          <w:sz w:val="24"/>
          <w:szCs w:val="24"/>
        </w:rPr>
        <w:t xml:space="preserve"> (9)</w:t>
      </w:r>
      <w:r w:rsidRPr="00D747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1">
    <w:p w:rsidR="00064BB0" w:rsidRPr="005C5FD3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D74739">
        <w:rPr>
          <w:rFonts w:ascii="Times New Roman" w:hAnsi="Times New Roman" w:cs="Times New Roman"/>
          <w:sz w:val="24"/>
          <w:szCs w:val="24"/>
          <w:rtl/>
        </w:rPr>
        <w:t>- محمد يحي فرج : التحليل الفلسفي للحداثة ، منشورات كلية الآداب ، جامعة عين شمس ، القاهرة ، م</w:t>
      </w:r>
      <w:r w:rsidRPr="00D74739">
        <w:rPr>
          <w:rFonts w:ascii="Times New Roman" w:hAnsi="Times New Roman" w:cs="Times New Roman" w:hint="cs"/>
          <w:sz w:val="24"/>
          <w:szCs w:val="24"/>
          <w:rtl/>
        </w:rPr>
        <w:t>ص</w:t>
      </w:r>
      <w:r w:rsidRPr="00D74739">
        <w:rPr>
          <w:rFonts w:ascii="Times New Roman" w:hAnsi="Times New Roman" w:cs="Times New Roman"/>
          <w:sz w:val="24"/>
          <w:szCs w:val="24"/>
          <w:rtl/>
        </w:rPr>
        <w:t>ر ، ص21.</w:t>
      </w:r>
      <w:r w:rsidRPr="005C5FD3">
        <w:rPr>
          <w:rStyle w:val="Appelnotedebasdep"/>
          <w:rFonts w:ascii="Times New Roman" w:hAnsi="Times New Roman" w:cs="Times New Roman"/>
          <w:sz w:val="32"/>
          <w:szCs w:val="32"/>
        </w:rPr>
        <w:t>(10)</w:t>
      </w:r>
      <w:r w:rsidRPr="005C5FD3">
        <w:rPr>
          <w:rFonts w:ascii="Times New Roman" w:hAnsi="Times New Roman" w:cs="Times New Roman"/>
          <w:sz w:val="32"/>
          <w:szCs w:val="32"/>
        </w:rPr>
        <w:t xml:space="preserve"> </w:t>
      </w:r>
    </w:p>
  </w:footnote>
  <w:footnote w:id="12">
    <w:p w:rsidR="00064BB0" w:rsidRPr="00D376C4" w:rsidRDefault="00064BB0" w:rsidP="00064BB0">
      <w:pPr>
        <w:pStyle w:val="Notedebasdepage"/>
        <w:ind w:right="-30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D376C4">
        <w:rPr>
          <w:rFonts w:ascii="Times New Roman" w:hAnsi="Times New Roman" w:cs="Times New Roman"/>
          <w:sz w:val="24"/>
          <w:szCs w:val="24"/>
          <w:rtl/>
        </w:rPr>
        <w:t>- سامي سويدان : جسور الحداثة ، دار الآداب ، بيروت ، لبنان ،ط1 1997، ص10.</w:t>
      </w:r>
      <w:r w:rsidRPr="00D376C4">
        <w:rPr>
          <w:rStyle w:val="Appelnotedebasdep"/>
          <w:rFonts w:ascii="Times New Roman" w:hAnsi="Times New Roman" w:cs="Times New Roman"/>
          <w:sz w:val="24"/>
          <w:szCs w:val="24"/>
        </w:rPr>
        <w:t>(11)</w:t>
      </w:r>
      <w:r w:rsidRPr="00D376C4">
        <w:rPr>
          <w:rFonts w:ascii="Times New Roman" w:hAnsi="Times New Roman" w:cs="Times New Roman"/>
          <w:sz w:val="24"/>
          <w:szCs w:val="24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4BB0"/>
    <w:rsid w:val="00064BB0"/>
    <w:rsid w:val="0064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BB0"/>
    <w:rPr>
      <w:rFonts w:eastAsia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4BB0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064BB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64BB0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semiHidden/>
    <w:unhideWhenUsed/>
    <w:rsid w:val="00064B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945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</dc:creator>
  <cp:keywords/>
  <dc:description/>
  <cp:lastModifiedBy>dream</cp:lastModifiedBy>
  <cp:revision>2</cp:revision>
  <dcterms:created xsi:type="dcterms:W3CDTF">2024-03-10T10:50:00Z</dcterms:created>
  <dcterms:modified xsi:type="dcterms:W3CDTF">2024-03-10T10:52:00Z</dcterms:modified>
</cp:coreProperties>
</file>