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3BF14" w14:textId="2082F08C" w:rsidR="00C76DFC" w:rsidRPr="00C76DFC" w:rsidRDefault="00C76DFC" w:rsidP="00AC74C2">
      <w:pPr>
        <w:jc w:val="both"/>
        <w:rPr>
          <w:b/>
          <w:bCs/>
          <w:sz w:val="24"/>
          <w:szCs w:val="24"/>
        </w:rPr>
      </w:pPr>
      <w:r w:rsidRPr="00C76DFC">
        <w:rPr>
          <w:b/>
          <w:bCs/>
          <w:sz w:val="24"/>
          <w:szCs w:val="24"/>
        </w:rPr>
        <w:t>Département de langue et littérature françaises</w:t>
      </w:r>
    </w:p>
    <w:p w14:paraId="3ACBDC86" w14:textId="3F5A77FA" w:rsidR="00C76DFC" w:rsidRDefault="00C76DFC" w:rsidP="00AC74C2">
      <w:pPr>
        <w:jc w:val="both"/>
        <w:rPr>
          <w:b/>
          <w:bCs/>
          <w:sz w:val="24"/>
          <w:szCs w:val="24"/>
        </w:rPr>
      </w:pPr>
      <w:r w:rsidRPr="00C76DFC">
        <w:rPr>
          <w:b/>
          <w:bCs/>
          <w:sz w:val="24"/>
          <w:szCs w:val="24"/>
        </w:rPr>
        <w:t>Matière : Traduction et interprétation</w:t>
      </w:r>
    </w:p>
    <w:p w14:paraId="208214BB" w14:textId="09CFB047" w:rsidR="00944574" w:rsidRDefault="00944574" w:rsidP="00AC74C2">
      <w:pPr>
        <w:jc w:val="both"/>
        <w:rPr>
          <w:b/>
          <w:bCs/>
          <w:sz w:val="24"/>
          <w:szCs w:val="24"/>
        </w:rPr>
      </w:pPr>
      <w:r>
        <w:rPr>
          <w:b/>
          <w:bCs/>
          <w:sz w:val="24"/>
          <w:szCs w:val="24"/>
        </w:rPr>
        <w:t>Enseignante : Dr. TALBI</w:t>
      </w:r>
    </w:p>
    <w:p w14:paraId="428382D9" w14:textId="2837A89C" w:rsidR="00C76DFC" w:rsidRPr="00C76DFC" w:rsidRDefault="00C76DFC" w:rsidP="00C76DFC">
      <w:pPr>
        <w:spacing w:before="360"/>
        <w:jc w:val="center"/>
        <w:rPr>
          <w:b/>
          <w:bCs/>
          <w:sz w:val="28"/>
          <w:szCs w:val="28"/>
        </w:rPr>
      </w:pPr>
      <w:r w:rsidRPr="00C76DFC">
        <w:rPr>
          <w:b/>
          <w:bCs/>
          <w:sz w:val="28"/>
          <w:szCs w:val="28"/>
        </w:rPr>
        <w:t>Séance</w:t>
      </w:r>
      <w:r w:rsidR="0040515F">
        <w:rPr>
          <w:b/>
          <w:bCs/>
          <w:sz w:val="28"/>
          <w:szCs w:val="28"/>
        </w:rPr>
        <w:t>s</w:t>
      </w:r>
      <w:r w:rsidRPr="00C76DFC">
        <w:rPr>
          <w:b/>
          <w:bCs/>
          <w:sz w:val="28"/>
          <w:szCs w:val="28"/>
        </w:rPr>
        <w:t xml:space="preserve"> 01</w:t>
      </w:r>
      <w:r w:rsidR="00944574">
        <w:rPr>
          <w:b/>
          <w:bCs/>
          <w:sz w:val="28"/>
          <w:szCs w:val="28"/>
        </w:rPr>
        <w:t xml:space="preserve"> &amp; 02</w:t>
      </w:r>
      <w:r w:rsidRPr="00C76DFC">
        <w:rPr>
          <w:b/>
          <w:bCs/>
          <w:sz w:val="28"/>
          <w:szCs w:val="28"/>
        </w:rPr>
        <w:t xml:space="preserve"> – Semestre 06</w:t>
      </w:r>
    </w:p>
    <w:p w14:paraId="486AFD76" w14:textId="635F7A20" w:rsidR="00C76DFC" w:rsidRPr="00C76DFC" w:rsidRDefault="00C76DFC" w:rsidP="00C76DFC">
      <w:pPr>
        <w:spacing w:after="480"/>
        <w:jc w:val="center"/>
        <w:rPr>
          <w:b/>
          <w:bCs/>
          <w:sz w:val="28"/>
          <w:szCs w:val="28"/>
        </w:rPr>
      </w:pPr>
      <w:r w:rsidRPr="00C76DFC">
        <w:rPr>
          <w:b/>
          <w:bCs/>
          <w:sz w:val="28"/>
          <w:szCs w:val="28"/>
        </w:rPr>
        <w:t>Traduction d’un texte injonctif</w:t>
      </w:r>
      <w:r w:rsidR="00494BA8">
        <w:rPr>
          <w:b/>
          <w:bCs/>
          <w:sz w:val="28"/>
          <w:szCs w:val="28"/>
        </w:rPr>
        <w:t xml:space="preserve"> vers l’Arabe</w:t>
      </w:r>
    </w:p>
    <w:p w14:paraId="27A958F1" w14:textId="1B47748A" w:rsidR="00C76DFC" w:rsidRPr="00C76DFC" w:rsidRDefault="00C76DFC" w:rsidP="00C76DFC">
      <w:pPr>
        <w:spacing w:after="240"/>
        <w:jc w:val="both"/>
        <w:rPr>
          <w:sz w:val="24"/>
          <w:szCs w:val="24"/>
        </w:rPr>
      </w:pPr>
      <w:r w:rsidRPr="00494BA8">
        <w:rPr>
          <w:b/>
          <w:bCs/>
          <w:sz w:val="24"/>
          <w:szCs w:val="24"/>
          <w:highlight w:val="cyan"/>
        </w:rPr>
        <w:t xml:space="preserve">Consigne : </w:t>
      </w:r>
      <w:r w:rsidRPr="00494BA8">
        <w:rPr>
          <w:sz w:val="24"/>
          <w:szCs w:val="24"/>
          <w:highlight w:val="cyan"/>
        </w:rPr>
        <w:t>Traduisez le texte qui suit vers l’Arabe</w:t>
      </w:r>
      <w:r w:rsidR="00BE0CF3" w:rsidRPr="00494BA8">
        <w:rPr>
          <w:sz w:val="24"/>
          <w:szCs w:val="24"/>
          <w:highlight w:val="cyan"/>
        </w:rPr>
        <w:t xml:space="preserve"> </w:t>
      </w:r>
      <w:r w:rsidR="00494BA8" w:rsidRPr="00494BA8">
        <w:rPr>
          <w:sz w:val="24"/>
          <w:szCs w:val="24"/>
          <w:highlight w:val="cyan"/>
        </w:rPr>
        <w:t xml:space="preserve">en respectant les caractéristiques du texte injonctif (utilisation de l’impératif … etc.) et </w:t>
      </w:r>
      <w:r w:rsidR="008F2DFC" w:rsidRPr="00494BA8">
        <w:rPr>
          <w:sz w:val="24"/>
          <w:szCs w:val="24"/>
          <w:highlight w:val="cyan"/>
        </w:rPr>
        <w:t>en évitant de calquer le texte original</w:t>
      </w:r>
      <w:r w:rsidRPr="00494BA8">
        <w:rPr>
          <w:sz w:val="24"/>
          <w:szCs w:val="24"/>
          <w:highlight w:val="cyan"/>
        </w:rPr>
        <w:t> !</w:t>
      </w:r>
      <w:r w:rsidR="00B07F48" w:rsidRPr="00494BA8">
        <w:rPr>
          <w:sz w:val="24"/>
          <w:szCs w:val="24"/>
          <w:highlight w:val="cyan"/>
        </w:rPr>
        <w:t xml:space="preserve"> Rappelez-vous que la traduction est l’équivalent du texte de départ et non pas sa copie !</w:t>
      </w:r>
      <w:r w:rsidR="00494BA8" w:rsidRPr="00494BA8">
        <w:rPr>
          <w:sz w:val="24"/>
          <w:szCs w:val="24"/>
          <w:highlight w:val="cyan"/>
        </w:rPr>
        <w:t xml:space="preserve"> Attention aussi à la ponctuation !</w:t>
      </w:r>
    </w:p>
    <w:p w14:paraId="722C461D" w14:textId="0A7F0AF3" w:rsidR="00AC74C2" w:rsidRPr="00C76DFC" w:rsidRDefault="00AC74C2" w:rsidP="00AC74C2">
      <w:pPr>
        <w:jc w:val="both"/>
        <w:rPr>
          <w:b/>
          <w:bCs/>
          <w:sz w:val="24"/>
          <w:szCs w:val="24"/>
        </w:rPr>
      </w:pPr>
      <w:r w:rsidRPr="00C76DFC">
        <w:rPr>
          <w:b/>
          <w:bCs/>
          <w:sz w:val="24"/>
          <w:szCs w:val="24"/>
        </w:rPr>
        <w:t xml:space="preserve">Conseils et précautions pour le chargement de la batterie </w:t>
      </w:r>
    </w:p>
    <w:p w14:paraId="10A6C19E" w14:textId="77777777" w:rsidR="00AC74C2" w:rsidRPr="00AC74C2" w:rsidRDefault="00AC74C2" w:rsidP="00AC74C2">
      <w:pPr>
        <w:jc w:val="both"/>
        <w:rPr>
          <w:sz w:val="24"/>
          <w:szCs w:val="24"/>
        </w:rPr>
      </w:pPr>
      <w:r w:rsidRPr="00AC74C2">
        <w:rPr>
          <w:sz w:val="24"/>
          <w:szCs w:val="24"/>
        </w:rPr>
        <w:t xml:space="preserve">• Lorsque le niveau de charge est faible, l’icône de la batterie est vide. </w:t>
      </w:r>
    </w:p>
    <w:p w14:paraId="0B99F15A" w14:textId="77777777" w:rsidR="00AC74C2" w:rsidRPr="00AC74C2" w:rsidRDefault="00AC74C2" w:rsidP="00AC74C2">
      <w:pPr>
        <w:jc w:val="both"/>
        <w:rPr>
          <w:sz w:val="24"/>
          <w:szCs w:val="24"/>
        </w:rPr>
      </w:pPr>
      <w:r w:rsidRPr="00AC74C2">
        <w:rPr>
          <w:sz w:val="24"/>
          <w:szCs w:val="24"/>
        </w:rPr>
        <w:t xml:space="preserve">• Si la batterie est complètement déchargée, vous ne pouvez pas allumer l’appareil, même si le chargeur est branché. Rechargez la batterie pendant quelques minutes avant d’allumer l’appareil. </w:t>
      </w:r>
    </w:p>
    <w:p w14:paraId="6AC3D8A9" w14:textId="77777777" w:rsidR="00AC74C2" w:rsidRPr="00AC74C2" w:rsidRDefault="00AC74C2" w:rsidP="00AC74C2">
      <w:pPr>
        <w:jc w:val="both"/>
        <w:rPr>
          <w:sz w:val="24"/>
          <w:szCs w:val="24"/>
        </w:rPr>
      </w:pPr>
      <w:r w:rsidRPr="00AC74C2">
        <w:rPr>
          <w:sz w:val="24"/>
          <w:szCs w:val="24"/>
        </w:rPr>
        <w:t xml:space="preserve">• Si vous utilisez simultanément plusieurs applications, des applications réseaux ou des applications qui nécessitent une connexion à un autre appareil, la batterie se déchargera rapidement. Pour éviter toute perte d’alimentation lors d’un transfert de données, utilisez toujours ces applications lorsque la batterie est parfaitement chargée. </w:t>
      </w:r>
    </w:p>
    <w:p w14:paraId="37264637" w14:textId="77777777" w:rsidR="00AC74C2" w:rsidRPr="00AC74C2" w:rsidRDefault="00AC74C2" w:rsidP="00AC74C2">
      <w:pPr>
        <w:jc w:val="both"/>
        <w:rPr>
          <w:sz w:val="24"/>
          <w:szCs w:val="24"/>
        </w:rPr>
      </w:pPr>
      <w:r w:rsidRPr="00AC74C2">
        <w:rPr>
          <w:sz w:val="24"/>
          <w:szCs w:val="24"/>
        </w:rPr>
        <w:t xml:space="preserve">• Si vous utilisez une source d’alimentation autre que le chargeur, comme un ordinateur, la vitesse de chargement risque d’être ralentie. </w:t>
      </w:r>
    </w:p>
    <w:p w14:paraId="5D08CECE" w14:textId="77777777" w:rsidR="00AC74C2" w:rsidRPr="00AC74C2" w:rsidRDefault="00AC74C2" w:rsidP="00AC74C2">
      <w:pPr>
        <w:jc w:val="both"/>
        <w:rPr>
          <w:sz w:val="24"/>
          <w:szCs w:val="24"/>
        </w:rPr>
      </w:pPr>
      <w:r w:rsidRPr="00AC74C2">
        <w:rPr>
          <w:sz w:val="24"/>
          <w:szCs w:val="24"/>
        </w:rPr>
        <w:t xml:space="preserve">• L’appareil peut être utilisé en cours de chargement, mais dans ce cas, le chargement complet de la batterie risque de prendre plus de temps. </w:t>
      </w:r>
    </w:p>
    <w:p w14:paraId="34B75BC3" w14:textId="77777777" w:rsidR="00AC74C2" w:rsidRPr="00AC74C2" w:rsidRDefault="00AC74C2" w:rsidP="00AC74C2">
      <w:pPr>
        <w:jc w:val="both"/>
        <w:rPr>
          <w:sz w:val="24"/>
          <w:szCs w:val="24"/>
        </w:rPr>
      </w:pPr>
      <w:r w:rsidRPr="00AC74C2">
        <w:rPr>
          <w:sz w:val="24"/>
          <w:szCs w:val="24"/>
        </w:rPr>
        <w:t xml:space="preserve">• Lorsque l’appareil est en cours de chargement, il est possible que l’écran tactile ne fonctionne pas en raison de l’instabilité de l’alimentation électrique. Dans ce cas, débranchez le chargeur de l’appareil. </w:t>
      </w:r>
    </w:p>
    <w:p w14:paraId="5F46A19F" w14:textId="77777777" w:rsidR="00AC74C2" w:rsidRPr="00AC74C2" w:rsidRDefault="00AC74C2" w:rsidP="00AC74C2">
      <w:pPr>
        <w:jc w:val="both"/>
        <w:rPr>
          <w:sz w:val="24"/>
          <w:szCs w:val="24"/>
        </w:rPr>
      </w:pPr>
      <w:r w:rsidRPr="00AC74C2">
        <w:rPr>
          <w:sz w:val="24"/>
          <w:szCs w:val="24"/>
        </w:rPr>
        <w:t xml:space="preserve">• Il est possible que l’appareil et le chargeur chauffent en cours de chargement. Ce phénomène est normal et n’affecte ni la durée de vie, ni les performances de l’appareil. Si la température de la batterie devient trop élevée, le chargement risque de s’interrompre. Si cela se produit lors du chargement sans fil, déconnectez l’appareil du chargeur pour qu’il refroidisse, puis attendez avant de remettre l’appareil en charge. </w:t>
      </w:r>
    </w:p>
    <w:p w14:paraId="7FE87467" w14:textId="77777777" w:rsidR="00AC74C2" w:rsidRPr="00AC74C2" w:rsidRDefault="00AC74C2" w:rsidP="00AC74C2">
      <w:pPr>
        <w:jc w:val="both"/>
        <w:rPr>
          <w:sz w:val="24"/>
          <w:szCs w:val="24"/>
        </w:rPr>
      </w:pPr>
      <w:r w:rsidRPr="00AC74C2">
        <w:rPr>
          <w:sz w:val="24"/>
          <w:szCs w:val="24"/>
        </w:rPr>
        <w:t xml:space="preserve">• Si vous rechargez l’appareil alors que le connecteur à fonctions multiples est mouillé, vous risquez d’endommager l’appareil. Séchez soigneusement le connecteur à fonctions multiples avant de mettre en charge l’appareil. </w:t>
      </w:r>
    </w:p>
    <w:p w14:paraId="7DD05652" w14:textId="0754DD7C" w:rsidR="0084666E" w:rsidRPr="00AC74C2" w:rsidRDefault="00AC74C2" w:rsidP="008F2DFC">
      <w:pPr>
        <w:jc w:val="both"/>
        <w:rPr>
          <w:sz w:val="24"/>
          <w:szCs w:val="24"/>
        </w:rPr>
      </w:pPr>
      <w:r w:rsidRPr="00AC74C2">
        <w:rPr>
          <w:sz w:val="24"/>
          <w:szCs w:val="24"/>
        </w:rPr>
        <w:t>• Si l’appareil ne se charge pas correctement, apportez-le, accompagné de son chargeur, dans un centre de service après-vente Samsung.</w:t>
      </w:r>
    </w:p>
    <w:sectPr w:rsidR="0084666E" w:rsidRPr="00AC74C2" w:rsidSect="00E72CB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26D92" w14:textId="77777777" w:rsidR="00E72CB0" w:rsidRDefault="00E72CB0" w:rsidP="00C76DFC">
      <w:pPr>
        <w:spacing w:after="0" w:line="240" w:lineRule="auto"/>
      </w:pPr>
      <w:r>
        <w:separator/>
      </w:r>
    </w:p>
  </w:endnote>
  <w:endnote w:type="continuationSeparator" w:id="0">
    <w:p w14:paraId="0D4FCA56" w14:textId="77777777" w:rsidR="00E72CB0" w:rsidRDefault="00E72CB0" w:rsidP="00C76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AF87A" w14:textId="77777777" w:rsidR="00E72CB0" w:rsidRDefault="00E72CB0" w:rsidP="00C76DFC">
      <w:pPr>
        <w:spacing w:after="0" w:line="240" w:lineRule="auto"/>
      </w:pPr>
      <w:r>
        <w:separator/>
      </w:r>
    </w:p>
  </w:footnote>
  <w:footnote w:type="continuationSeparator" w:id="0">
    <w:p w14:paraId="4874EB6D" w14:textId="77777777" w:rsidR="00E72CB0" w:rsidRDefault="00E72CB0" w:rsidP="00C76D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4C2"/>
    <w:rsid w:val="00182261"/>
    <w:rsid w:val="0040515F"/>
    <w:rsid w:val="00494BA8"/>
    <w:rsid w:val="0084666E"/>
    <w:rsid w:val="00856817"/>
    <w:rsid w:val="00870B4F"/>
    <w:rsid w:val="008F2DFC"/>
    <w:rsid w:val="00944574"/>
    <w:rsid w:val="009D11F0"/>
    <w:rsid w:val="00AC74C2"/>
    <w:rsid w:val="00B07F48"/>
    <w:rsid w:val="00BE0CF3"/>
    <w:rsid w:val="00C15DC9"/>
    <w:rsid w:val="00C76DFC"/>
    <w:rsid w:val="00CE311F"/>
    <w:rsid w:val="00D4058E"/>
    <w:rsid w:val="00E72CB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ABC9"/>
  <w15:chartTrackingRefBased/>
  <w15:docId w15:val="{7FCB33CD-81E3-4412-B0B9-8F69D5CC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76DFC"/>
    <w:pPr>
      <w:tabs>
        <w:tab w:val="center" w:pos="4536"/>
        <w:tab w:val="right" w:pos="9072"/>
      </w:tabs>
      <w:spacing w:after="0" w:line="240" w:lineRule="auto"/>
    </w:pPr>
  </w:style>
  <w:style w:type="character" w:customStyle="1" w:styleId="En-tteCar">
    <w:name w:val="En-tête Car"/>
    <w:basedOn w:val="Policepardfaut"/>
    <w:link w:val="En-tte"/>
    <w:uiPriority w:val="99"/>
    <w:rsid w:val="00C76DFC"/>
  </w:style>
  <w:style w:type="paragraph" w:styleId="Pieddepage">
    <w:name w:val="footer"/>
    <w:basedOn w:val="Normal"/>
    <w:link w:val="PieddepageCar"/>
    <w:uiPriority w:val="99"/>
    <w:unhideWhenUsed/>
    <w:rsid w:val="00C76D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6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377</Words>
  <Characters>2076</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2024-01-29T20:42:00Z</dcterms:created>
  <dcterms:modified xsi:type="dcterms:W3CDTF">2024-02-13T19:01:00Z</dcterms:modified>
</cp:coreProperties>
</file>