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1B" w:rsidRDefault="00660CEC" w:rsidP="00660CE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أهم المصادر والمراجع:</w:t>
      </w:r>
    </w:p>
    <w:p w:rsidR="00660CEC" w:rsidRDefault="00660CEC" w:rsidP="00660CE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تعليم اللغة العربية للناطقين بغيرها، نور الهدى بنت عثمان</w:t>
      </w:r>
    </w:p>
    <w:p w:rsidR="00660CEC" w:rsidRDefault="00660CEC" w:rsidP="00660CE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أساليب تدريس المهارات اللغوية لغير الناطقين بالعربية، أحمد حسن محمد علي</w:t>
      </w:r>
    </w:p>
    <w:p w:rsidR="00660CEC" w:rsidRDefault="00660CEC" w:rsidP="00660CE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استراتيجيات تعلم اللغة، أكسفورد ربيكا، ترجمة السيد محمد </w:t>
      </w:r>
      <w:proofErr w:type="spellStart"/>
      <w:r>
        <w:rPr>
          <w:rFonts w:hint="cs"/>
          <w:sz w:val="32"/>
          <w:szCs w:val="32"/>
          <w:rtl/>
          <w:lang w:bidi="ar-DZ"/>
        </w:rPr>
        <w:t>دعدور</w:t>
      </w:r>
      <w:proofErr w:type="spellEnd"/>
    </w:p>
    <w:p w:rsidR="00660CEC" w:rsidRPr="00660CEC" w:rsidRDefault="00660CEC" w:rsidP="00660CEC">
      <w:pPr>
        <w:jc w:val="right"/>
        <w:rPr>
          <w:sz w:val="32"/>
          <w:szCs w:val="32"/>
          <w:rtl/>
          <w:lang w:bidi="ar-DZ"/>
        </w:rPr>
      </w:pPr>
      <w:r w:rsidRPr="00660CEC">
        <w:rPr>
          <w:rFonts w:hint="cs"/>
          <w:sz w:val="32"/>
          <w:szCs w:val="32"/>
          <w:rtl/>
          <w:lang w:bidi="ar-DZ"/>
        </w:rPr>
        <w:t>- عبد الله علي مصطف</w:t>
      </w:r>
      <w:r>
        <w:rPr>
          <w:rFonts w:hint="cs"/>
          <w:sz w:val="32"/>
          <w:szCs w:val="32"/>
          <w:rtl/>
          <w:lang w:bidi="ar-DZ"/>
        </w:rPr>
        <w:t>ى، مهارات اللغة العربية</w:t>
      </w:r>
      <w:r w:rsidRPr="00660CEC">
        <w:rPr>
          <w:rFonts w:hint="cs"/>
          <w:sz w:val="32"/>
          <w:szCs w:val="32"/>
          <w:rtl/>
          <w:lang w:bidi="ar-DZ"/>
        </w:rPr>
        <w:t>.</w:t>
      </w:r>
    </w:p>
    <w:p w:rsidR="00660CEC" w:rsidRDefault="00660CEC" w:rsidP="00660CEC">
      <w:pPr>
        <w:jc w:val="right"/>
        <w:rPr>
          <w:sz w:val="32"/>
          <w:szCs w:val="32"/>
          <w:rtl/>
        </w:rPr>
      </w:pPr>
      <w:r w:rsidRPr="00660CEC">
        <w:rPr>
          <w:rFonts w:hint="cs"/>
          <w:sz w:val="32"/>
          <w:szCs w:val="32"/>
          <w:rtl/>
        </w:rPr>
        <w:t>- فهد خليل زايد، أساليب تدريس العربية بين المهارة والصعوبة</w:t>
      </w:r>
    </w:p>
    <w:p w:rsidR="00660CEC" w:rsidRDefault="00660CEC" w:rsidP="00660CE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رشدي أحمد </w:t>
      </w:r>
      <w:proofErr w:type="spellStart"/>
      <w:r>
        <w:rPr>
          <w:rFonts w:hint="cs"/>
          <w:sz w:val="32"/>
          <w:szCs w:val="32"/>
          <w:rtl/>
        </w:rPr>
        <w:t>طعيمة</w:t>
      </w:r>
      <w:proofErr w:type="spellEnd"/>
      <w:r>
        <w:rPr>
          <w:rFonts w:hint="cs"/>
          <w:sz w:val="32"/>
          <w:szCs w:val="32"/>
          <w:rtl/>
        </w:rPr>
        <w:t xml:space="preserve">، المرجع في تعليم اللغة </w:t>
      </w:r>
      <w:r w:rsidR="00337D3A">
        <w:rPr>
          <w:rFonts w:hint="cs"/>
          <w:sz w:val="32"/>
          <w:szCs w:val="32"/>
          <w:rtl/>
        </w:rPr>
        <w:t>العربية للناطقين بلغات أخرى</w:t>
      </w:r>
    </w:p>
    <w:p w:rsidR="00337D3A" w:rsidRDefault="00337D3A" w:rsidP="00660CE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رشدي أحمد </w:t>
      </w:r>
      <w:proofErr w:type="spellStart"/>
      <w:r>
        <w:rPr>
          <w:rFonts w:hint="cs"/>
          <w:sz w:val="32"/>
          <w:szCs w:val="32"/>
          <w:rtl/>
        </w:rPr>
        <w:t>طعيمة</w:t>
      </w:r>
      <w:proofErr w:type="spellEnd"/>
      <w:r>
        <w:rPr>
          <w:rFonts w:hint="cs"/>
          <w:sz w:val="32"/>
          <w:szCs w:val="32"/>
          <w:rtl/>
        </w:rPr>
        <w:t>، المهارات اللغوية مستوياتها، صعوبات تدريسها</w:t>
      </w:r>
    </w:p>
    <w:p w:rsidR="00337D3A" w:rsidRDefault="00337D3A" w:rsidP="00660CE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عبده الراجحي، علم اللغة التطبيقي وتعليم العربية</w:t>
      </w:r>
    </w:p>
    <w:p w:rsidR="002632F3" w:rsidRDefault="00337D3A" w:rsidP="00660CE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نادية مصطفى العساف، طرائق تد</w:t>
      </w:r>
      <w:r w:rsidR="002632F3">
        <w:rPr>
          <w:rFonts w:hint="cs"/>
          <w:sz w:val="32"/>
          <w:szCs w:val="32"/>
          <w:rtl/>
        </w:rPr>
        <w:t>ريس منهاج العربية للناطقين بغيرها بين النظرية والتطبيق.</w:t>
      </w:r>
    </w:p>
    <w:p w:rsidR="00337D3A" w:rsidRDefault="002632F3" w:rsidP="00660CE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337D3A">
        <w:rPr>
          <w:rFonts w:hint="cs"/>
          <w:sz w:val="32"/>
          <w:szCs w:val="32"/>
          <w:rtl/>
        </w:rPr>
        <w:t xml:space="preserve"> </w:t>
      </w:r>
      <w:r w:rsidR="00BE064C">
        <w:rPr>
          <w:rFonts w:hint="cs"/>
          <w:sz w:val="32"/>
          <w:szCs w:val="32"/>
          <w:rtl/>
        </w:rPr>
        <w:t>حسن شحاتة، مروان السمان، استراتيجيات تعليم اللغة العربية من النظرية إلى التطبيق</w:t>
      </w:r>
    </w:p>
    <w:p w:rsidR="00147E22" w:rsidRPr="00660CEC" w:rsidRDefault="00147E22" w:rsidP="00660CE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- ابن خلدون، المقدمة</w:t>
      </w:r>
      <w:bookmarkStart w:id="0" w:name="_GoBack"/>
      <w:bookmarkEnd w:id="0"/>
    </w:p>
    <w:sectPr w:rsidR="00147E22" w:rsidRPr="0066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EC"/>
    <w:rsid w:val="00147E22"/>
    <w:rsid w:val="002632F3"/>
    <w:rsid w:val="00337D3A"/>
    <w:rsid w:val="0046451B"/>
    <w:rsid w:val="00660CEC"/>
    <w:rsid w:val="00B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BA9"/>
  <w15:chartTrackingRefBased/>
  <w15:docId w15:val="{069A4D01-9B91-4FD1-B472-E4762F3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2024-02-01T20:32:00Z</dcterms:created>
  <dcterms:modified xsi:type="dcterms:W3CDTF">2024-02-10T20:34:00Z</dcterms:modified>
</cp:coreProperties>
</file>