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07" w:rsidRDefault="00DC7F4F" w:rsidP="00DC7F4F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DC7F4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الإجابة النموذجية لمقياس تحليل السياسة الخارجية</w:t>
      </w:r>
    </w:p>
    <w:p w:rsidR="00DC7F4F" w:rsidRDefault="00DC7F4F" w:rsidP="00DC7F4F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مقدمة: </w:t>
      </w:r>
    </w:p>
    <w:p w:rsidR="00DC7F4F" w:rsidRDefault="00DC7F4F" w:rsidP="00DC7F4F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</w:t>
      </w:r>
      <w:r w:rsidRPr="00DC7F4F">
        <w:rPr>
          <w:rFonts w:ascii="Sakkal Majalla" w:hAnsi="Sakkal Majalla" w:cs="Sakkal Majalla" w:hint="cs"/>
          <w:sz w:val="32"/>
          <w:szCs w:val="32"/>
          <w:rtl/>
          <w:lang w:bidi="ar-DZ"/>
        </w:rPr>
        <w:t>تقديم الموضوع، طرح الإشكالية والاسئلة الفرعية، الخطة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DC7F4F" w:rsidRDefault="00DC7F4F" w:rsidP="00DC7F4F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المحور الأول: الإطار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المفاهيمي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للدراسة.</w:t>
      </w:r>
    </w:p>
    <w:p w:rsidR="00DC7F4F" w:rsidRDefault="00DC7F4F" w:rsidP="00DC7F4F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1/ تعريف السياسة الخارجية وعلاقتها بالمفاهيم الأخرى</w:t>
      </w:r>
    </w:p>
    <w:p w:rsidR="00DC7F4F" w:rsidRDefault="00DC7F4F" w:rsidP="00DC7F4F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2/ تعريف العوامل الداخلية للسياسة الخارجية.</w:t>
      </w:r>
    </w:p>
    <w:p w:rsidR="00DC7F4F" w:rsidRDefault="00DC7F4F" w:rsidP="00DC7F4F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المحور الثاني: دور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العومل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الداخلية في رسم وصنع السياسة الخارجية.</w:t>
      </w:r>
    </w:p>
    <w:p w:rsidR="00DC7F4F" w:rsidRPr="00DC7F4F" w:rsidRDefault="00DC7F4F" w:rsidP="00DC7F4F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الخاتمة.</w:t>
      </w:r>
      <w:bookmarkStart w:id="0" w:name="_GoBack"/>
      <w:bookmarkEnd w:id="0"/>
    </w:p>
    <w:sectPr w:rsidR="00DC7F4F" w:rsidRPr="00DC7F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F"/>
    <w:rsid w:val="00A10407"/>
    <w:rsid w:val="00D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8F9C83-55D0-4084-A249-9881CA9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1</cp:revision>
  <dcterms:created xsi:type="dcterms:W3CDTF">2024-02-01T10:09:00Z</dcterms:created>
  <dcterms:modified xsi:type="dcterms:W3CDTF">2024-02-01T10:15:00Z</dcterms:modified>
</cp:coreProperties>
</file>