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70" w:tblpY="157"/>
        <w:tblW w:w="10491" w:type="dxa"/>
        <w:tblBorders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  <w:insideH w:val="single" w:sz="24" w:space="0" w:color="95B3D7" w:themeColor="accent1" w:themeTint="99"/>
          <w:insideV w:val="single" w:sz="24" w:space="0" w:color="95B3D7" w:themeColor="accent1" w:themeTint="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1"/>
        <w:gridCol w:w="1638"/>
        <w:gridCol w:w="1354"/>
        <w:gridCol w:w="778"/>
        <w:gridCol w:w="3050"/>
      </w:tblGrid>
      <w:tr w:rsidR="004F0BC2" w:rsidRPr="00F2364C" w:rsidTr="007F0E3B">
        <w:trPr>
          <w:trHeight w:val="590"/>
        </w:trPr>
        <w:tc>
          <w:tcPr>
            <w:tcW w:w="6663" w:type="dxa"/>
            <w:gridSpan w:val="3"/>
          </w:tcPr>
          <w:p w:rsidR="004F0BC2" w:rsidRPr="00F2364C" w:rsidRDefault="004F0BC2" w:rsidP="00961377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Université Mohammed Lamine Debaghine Sétif 2 </w:t>
            </w:r>
          </w:p>
          <w:p w:rsidR="004F0BC2" w:rsidRPr="00F2364C" w:rsidRDefault="004F0BC2" w:rsidP="00961377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Faculté des lettres et des langues </w:t>
            </w:r>
          </w:p>
          <w:p w:rsidR="004F0BC2" w:rsidRPr="00F2364C" w:rsidRDefault="004F0BC2" w:rsidP="00961377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Département de langue et littérature anglaises </w:t>
            </w:r>
          </w:p>
        </w:tc>
        <w:tc>
          <w:tcPr>
            <w:tcW w:w="3828" w:type="dxa"/>
            <w:gridSpan w:val="2"/>
          </w:tcPr>
          <w:p w:rsidR="004F0BC2" w:rsidRPr="00F2364C" w:rsidRDefault="004F0BC2" w:rsidP="0096137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Chargée de cours : </w:t>
            </w:r>
            <w:r w:rsidR="00F2364C"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D</w:t>
            </w:r>
            <w:r w:rsidR="00F2364C"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vertAlign w:val="superscript"/>
              </w:rPr>
              <w:t>r</w:t>
            </w:r>
            <w:r w:rsidR="00F2364C"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Oumaima BENDAAMOUCHE</w:t>
            </w:r>
          </w:p>
          <w:p w:rsidR="004F0BC2" w:rsidRPr="00F2364C" w:rsidRDefault="004F0BC2" w:rsidP="0096137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="MS Gothic" w:eastAsia="MS Gothic" w:hAnsi="MS Gothic" w:cs="MS Gothic" w:hint="eastAsia"/>
                <w:color w:val="244061" w:themeColor="accent1" w:themeShade="80"/>
                <w:sz w:val="32"/>
                <w:szCs w:val="32"/>
                <w:shd w:val="clear" w:color="auto" w:fill="FFFFFF"/>
              </w:rPr>
              <w:t>✉</w:t>
            </w: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bendaamouche.oumaima@yahoo.com</w:t>
            </w:r>
          </w:p>
        </w:tc>
      </w:tr>
      <w:tr w:rsidR="004F0BC2" w:rsidRPr="00F2364C" w:rsidTr="007F0E3B">
        <w:trPr>
          <w:trHeight w:val="369"/>
        </w:trPr>
        <w:tc>
          <w:tcPr>
            <w:tcW w:w="3671" w:type="dxa"/>
          </w:tcPr>
          <w:p w:rsidR="004F0BC2" w:rsidRPr="00F2364C" w:rsidRDefault="004F0BC2" w:rsidP="0096137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Module : FLE</w:t>
            </w:r>
          </w:p>
        </w:tc>
        <w:tc>
          <w:tcPr>
            <w:tcW w:w="1638" w:type="dxa"/>
          </w:tcPr>
          <w:p w:rsidR="004F0BC2" w:rsidRPr="00F2364C" w:rsidRDefault="004F0BC2" w:rsidP="0096137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Niveau : L1</w:t>
            </w:r>
          </w:p>
        </w:tc>
        <w:tc>
          <w:tcPr>
            <w:tcW w:w="2132" w:type="dxa"/>
            <w:gridSpan w:val="2"/>
          </w:tcPr>
          <w:p w:rsidR="004F0BC2" w:rsidRPr="00F2364C" w:rsidRDefault="004F0BC2" w:rsidP="0096137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Section : A-B-C</w:t>
            </w:r>
          </w:p>
        </w:tc>
        <w:tc>
          <w:tcPr>
            <w:tcW w:w="3050" w:type="dxa"/>
          </w:tcPr>
          <w:p w:rsidR="004F0BC2" w:rsidRPr="00F2364C" w:rsidRDefault="004F0BC2" w:rsidP="0096137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Groupe : 1 à 6</w:t>
            </w:r>
          </w:p>
        </w:tc>
      </w:tr>
      <w:tr w:rsidR="004F0BC2" w:rsidRPr="00F2364C" w:rsidTr="007F0E3B">
        <w:trPr>
          <w:trHeight w:val="16"/>
        </w:trPr>
        <w:tc>
          <w:tcPr>
            <w:tcW w:w="10491" w:type="dxa"/>
            <w:gridSpan w:val="5"/>
          </w:tcPr>
          <w:p w:rsidR="004F0BC2" w:rsidRPr="00F2364C" w:rsidRDefault="004F0BC2" w:rsidP="004F0BC2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Cours N° 8 : le nom </w:t>
            </w:r>
          </w:p>
        </w:tc>
      </w:tr>
      <w:tr w:rsidR="004F0BC2" w:rsidRPr="00F2364C" w:rsidTr="007F0E3B">
        <w:trPr>
          <w:trHeight w:val="528"/>
        </w:trPr>
        <w:tc>
          <w:tcPr>
            <w:tcW w:w="10491" w:type="dxa"/>
            <w:gridSpan w:val="5"/>
          </w:tcPr>
          <w:p w:rsidR="004F0BC2" w:rsidRPr="00F2364C" w:rsidRDefault="004F0BC2" w:rsidP="0096137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364C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F0BC2" w:rsidRPr="00F2364C" w:rsidRDefault="004F0BC2" w:rsidP="004F0BC2">
      <w:pPr>
        <w:spacing w:after="0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4"/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  <w:insideH w:val="single" w:sz="24" w:space="0" w:color="95B3D7" w:themeColor="accent1" w:themeTint="99"/>
          <w:insideV w:val="single" w:sz="24" w:space="0" w:color="95B3D7" w:themeColor="accent1" w:themeTint="99"/>
        </w:tblBorders>
        <w:tblLook w:val="04A0"/>
      </w:tblPr>
      <w:tblGrid>
        <w:gridCol w:w="10498"/>
      </w:tblGrid>
      <w:tr w:rsidR="004F0BC2" w:rsidRPr="00F2364C" w:rsidTr="007F0E3B">
        <w:tc>
          <w:tcPr>
            <w:tcW w:w="10498" w:type="dxa"/>
          </w:tcPr>
          <w:p w:rsidR="004F0BC2" w:rsidRPr="00F2364C" w:rsidRDefault="004F0BC2" w:rsidP="004F0BC2">
            <w:pPr>
              <w:pStyle w:val="Titre1"/>
              <w:spacing w:before="0"/>
              <w:outlineLvl w:val="0"/>
              <w:rPr>
                <w:rFonts w:eastAsia="Times New Roman"/>
                <w:color w:val="244061" w:themeColor="accent1" w:themeShade="80"/>
                <w:lang w:eastAsia="fr-FR"/>
              </w:rPr>
            </w:pPr>
            <w:r w:rsidRPr="00F2364C">
              <w:rPr>
                <w:rFonts w:eastAsia="Times New Roman"/>
                <w:color w:val="244061" w:themeColor="accent1" w:themeShade="80"/>
                <w:lang w:eastAsia="fr-FR"/>
              </w:rPr>
              <w:t xml:space="preserve">Le nom : généralités </w:t>
            </w:r>
          </w:p>
          <w:p w:rsidR="004F0BC2" w:rsidRPr="00F2364C" w:rsidRDefault="007F0E3B" w:rsidP="004F0BC2">
            <w:pPr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        </w:t>
            </w:r>
            <w:r w:rsidR="004F0BC2"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IL sert à désigner </w:t>
            </w:r>
            <w:r w:rsidR="004F0BC2"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les choses</w:t>
            </w:r>
            <w:r w:rsidR="004F0BC2"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, </w:t>
            </w:r>
            <w:r w:rsidR="004F0BC2"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les êtres</w:t>
            </w:r>
            <w:r w:rsidR="004F0BC2"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et </w:t>
            </w:r>
            <w:r w:rsidR="004F0BC2"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toutes les notions</w:t>
            </w:r>
            <w:r w:rsidR="004F0BC2"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dont l’homme a besoin </w:t>
            </w:r>
            <w:r w:rsidR="004F0BC2"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pour dire le monde et la vie</w:t>
            </w:r>
            <w:r w:rsidR="004F0BC2"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. Il peut aussi désigner </w:t>
            </w:r>
            <w:r w:rsidR="004F0BC2"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une action</w:t>
            </w:r>
            <w:r w:rsidR="004F0BC2"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en </w:t>
            </w:r>
            <w:r w:rsidR="004F0BC2"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l’envisageant hors du temps</w:t>
            </w:r>
            <w:r w:rsidR="004F0BC2"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(exemples : </w:t>
            </w:r>
            <w:r w:rsidR="004F0BC2"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augmentation, ouverture</w:t>
            </w:r>
            <w:r w:rsidR="004F0BC2"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). En français, il est pourvu d’un </w:t>
            </w:r>
            <w:r w:rsidR="004F0BC2"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genre</w:t>
            </w:r>
            <w:r w:rsidR="004F0BC2"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(masculin ou féminin).</w:t>
            </w:r>
          </w:p>
          <w:p w:rsidR="004F0BC2" w:rsidRPr="00F2364C" w:rsidRDefault="004F0BC2" w:rsidP="004F0BC2">
            <w:pPr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Le nom propre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 désigne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un être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ou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un lieu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</w:t>
            </w:r>
            <w:proofErr w:type="gramStart"/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uniques</w:t>
            </w:r>
            <w:proofErr w:type="gramEnd"/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.</w:t>
            </w:r>
          </w:p>
          <w:p w:rsidR="004F0BC2" w:rsidRPr="00F2364C" w:rsidRDefault="004F0BC2" w:rsidP="004F0BC2">
            <w:pPr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         Les déterminants peuvent être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absents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dans une énumération.</w:t>
            </w:r>
          </w:p>
          <w:p w:rsidR="004F0BC2" w:rsidRPr="00F2364C" w:rsidRDefault="004F0BC2" w:rsidP="004F0BC2">
            <w:pPr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Le nom commun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a une valeur notionnelle : on donne le nom de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chien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 à tout animal présentant les caractéristiques spécifiques à cette espèce. Dans le discours, le nom commun a besoin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d’être déterminé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pour désigner une réalité particulière : c’est le rôle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des articles et des adjectifs possessifs, démonstratifs, indéfinis, numéraux (qui constituent la classe des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244061" w:themeColor="accent1" w:themeShade="80"/>
                <w:lang w:eastAsia="fr-FR"/>
              </w:rPr>
              <w:t>déterminants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)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.</w:t>
            </w:r>
          </w:p>
          <w:p w:rsidR="004F0BC2" w:rsidRPr="00F2364C" w:rsidRDefault="004F0BC2" w:rsidP="004F0BC2">
            <w:pPr>
              <w:spacing w:after="163"/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         Le nom peut être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sujet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 d’un verbe conjugué : il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fait l’action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(ou la subit, ou en bénéficie)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ou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se voit attacher une propriété par l’intermédiaire d’un verbe attributif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. Il peut être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attribut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du sujet. Il peut être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complément d’un nom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Il a une maison de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u w:val="single"/>
                <w:lang w:eastAsia="fr-FR"/>
              </w:rPr>
              <w:t>campagne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 ou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complément d’un adjectif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Il est fou de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u w:val="single"/>
                <w:lang w:eastAsia="fr-FR"/>
              </w:rPr>
              <w:t>joie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). Il peut être détaché et mis en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apposition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Il pratique le rugby, un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u w:val="single"/>
                <w:lang w:eastAsia="fr-FR"/>
              </w:rPr>
              <w:t>sport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viril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 ou mis en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apostrophe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Où allez-vous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,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u w:val="single"/>
                <w:lang w:eastAsia="fr-FR"/>
              </w:rPr>
              <w:t>Monsieur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?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).</w:t>
            </w:r>
          </w:p>
          <w:p w:rsidR="004F0BC2" w:rsidRPr="00F2364C" w:rsidRDefault="004F0BC2" w:rsidP="004F0BC2">
            <w:pPr>
              <w:pStyle w:val="Titre1"/>
              <w:spacing w:before="0"/>
              <w:outlineLvl w:val="0"/>
              <w:rPr>
                <w:rFonts w:asciiTheme="majorBidi" w:eastAsia="Times New Roman" w:hAnsi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eastAsia="Times New Roman"/>
                <w:color w:val="244061" w:themeColor="accent1" w:themeShade="80"/>
                <w:kern w:val="36"/>
                <w:lang w:eastAsia="fr-FR"/>
              </w:rPr>
              <w:t>Le déterminant</w:t>
            </w:r>
            <w:r w:rsidRPr="00F2364C">
              <w:rPr>
                <w:rFonts w:eastAsia="Times New Roman" w:hint="eastAsia"/>
                <w:color w:val="244061" w:themeColor="accent1" w:themeShade="80"/>
                <w:kern w:val="36"/>
                <w:lang w:eastAsia="fr-FR"/>
              </w:rPr>
              <w:t> </w:t>
            </w:r>
            <w:r w:rsidRPr="00F2364C">
              <w:rPr>
                <w:rFonts w:eastAsia="Times New Roman"/>
                <w:color w:val="244061" w:themeColor="accent1" w:themeShade="80"/>
                <w:kern w:val="36"/>
                <w:lang w:eastAsia="fr-FR"/>
              </w:rPr>
              <w:t xml:space="preserve">: généralités </w:t>
            </w:r>
          </w:p>
          <w:p w:rsidR="004F0BC2" w:rsidRPr="00F2364C" w:rsidRDefault="004F0BC2" w:rsidP="004F0BC2">
            <w:pPr>
              <w:spacing w:after="163"/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          Il forme avec le nom la base du groupe nominal. Grâce à lui, le nom n’est plus une notion abstraite, il peut désigner une réalité évoquée dans le discours du locuteur :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tous deux forment la base du groupe nominal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. Un déterminant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défini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 indique que le nom fait référence à 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une réalité précise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 xml:space="preserve"> (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244061" w:themeColor="accent1" w:themeShade="80"/>
                <w:lang w:eastAsia="fr-FR"/>
              </w:rPr>
              <w:t>Le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 chien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u w:val="single"/>
                <w:lang w:eastAsia="fr-FR"/>
              </w:rPr>
              <w:t>de mon ami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a traversé la rue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), contrairement à un déterminant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indéfini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244061" w:themeColor="accent1" w:themeShade="80"/>
                <w:lang w:eastAsia="fr-FR"/>
              </w:rPr>
              <w:t>Un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[quelconque]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chien a traversé la rue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).</w:t>
            </w:r>
          </w:p>
          <w:p w:rsidR="004F0BC2" w:rsidRPr="00F2364C" w:rsidRDefault="004F0BC2" w:rsidP="004F0BC2">
            <w:pPr>
              <w:numPr>
                <w:ilvl w:val="0"/>
                <w:numId w:val="9"/>
              </w:numPr>
              <w:spacing w:after="100" w:afterAutospacing="1"/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Les déterminants s’accordent avec le nom qu’ils précisent, à l’exception des adjectifs numéraux cardinaux et de certains adjectifs indéfinis issus d’adverbes 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un peu de, beaucoup de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).</w:t>
            </w:r>
          </w:p>
          <w:p w:rsidR="004F0BC2" w:rsidRPr="00F2364C" w:rsidRDefault="004F0BC2" w:rsidP="004F0BC2">
            <w:pPr>
              <w:numPr>
                <w:ilvl w:val="0"/>
                <w:numId w:val="9"/>
              </w:numPr>
              <w:spacing w:after="100" w:afterAutospacing="1"/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Déterminants définis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: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articles définis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le, la, les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),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adjectifs possessifs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ce, cet, cette, ces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 et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démonstratifs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mon, ton, son…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).</w:t>
            </w:r>
          </w:p>
          <w:p w:rsidR="004F0BC2" w:rsidRPr="00F2364C" w:rsidRDefault="004F0BC2" w:rsidP="004F0BC2">
            <w:pPr>
              <w:numPr>
                <w:ilvl w:val="0"/>
                <w:numId w:val="9"/>
              </w:numPr>
              <w:spacing w:after="100" w:afterAutospacing="1"/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</w:pP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Déterminants indéfinis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: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articles indéfinis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un, une, des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 et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partitifs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u w:val="single"/>
                <w:lang w:eastAsia="fr-FR"/>
              </w:rPr>
              <w:t>du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pain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,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u w:val="single"/>
                <w:lang w:eastAsia="fr-FR"/>
              </w:rPr>
              <w:t>de la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bière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),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adjectifs numéraux cardinaux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un, deux, dix, cent…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),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adjectifs indéfinis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chacun, aucun, quelque, tout, un peu de, beaucoup de…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),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adjectifs interrogatifs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et </w:t>
            </w:r>
            <w:r w:rsidRPr="00F2364C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lang w:eastAsia="fr-FR"/>
              </w:rPr>
              <w:t>exclamatifs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 (</w:t>
            </w:r>
            <w:r w:rsidRPr="00F2364C">
              <w:rPr>
                <w:rFonts w:asciiTheme="majorBidi" w:eastAsia="Times New Roman" w:hAnsiTheme="majorBidi" w:cstheme="majorBidi"/>
                <w:i/>
                <w:iCs/>
                <w:color w:val="244061" w:themeColor="accent1" w:themeShade="80"/>
                <w:lang w:eastAsia="fr-FR"/>
              </w:rPr>
              <w:t>quel</w:t>
            </w:r>
            <w:r w:rsidRPr="00F2364C">
              <w:rPr>
                <w:rFonts w:asciiTheme="majorBidi" w:eastAsia="Times New Roman" w:hAnsiTheme="majorBidi" w:cstheme="majorBidi"/>
                <w:color w:val="244061" w:themeColor="accent1" w:themeShade="80"/>
                <w:lang w:eastAsia="fr-FR"/>
              </w:rPr>
              <w:t>).</w:t>
            </w:r>
          </w:p>
          <w:p w:rsidR="004F0BC2" w:rsidRPr="00F2364C" w:rsidRDefault="004F0BC2" w:rsidP="00961377">
            <w:pPr>
              <w:jc w:val="both"/>
              <w:rPr>
                <w:color w:val="244061" w:themeColor="accent1" w:themeShade="80"/>
              </w:rPr>
            </w:pPr>
          </w:p>
        </w:tc>
      </w:tr>
    </w:tbl>
    <w:p w:rsidR="004F0BC2" w:rsidRPr="00F2364C" w:rsidRDefault="004F0BC2" w:rsidP="004F0BC2">
      <w:pPr>
        <w:tabs>
          <w:tab w:val="left" w:pos="2007"/>
        </w:tabs>
        <w:spacing w:after="0"/>
        <w:jc w:val="both"/>
        <w:rPr>
          <w:b/>
          <w:bCs/>
          <w:color w:val="244061" w:themeColor="accent1" w:themeShade="80"/>
          <w:sz w:val="24"/>
          <w:szCs w:val="24"/>
        </w:rPr>
      </w:pPr>
    </w:p>
    <w:p w:rsidR="004F0BC2" w:rsidRPr="00F2364C" w:rsidRDefault="004F0BC2" w:rsidP="004F0BC2">
      <w:pPr>
        <w:jc w:val="both"/>
        <w:rPr>
          <w:rFonts w:asciiTheme="majorBidi" w:hAnsiTheme="majorBidi" w:cstheme="majorBidi"/>
          <w:b/>
          <w:bCs/>
          <w:color w:val="244061" w:themeColor="accent1" w:themeShade="80"/>
          <w:sz w:val="24"/>
          <w:szCs w:val="24"/>
        </w:rPr>
      </w:pPr>
      <w:r w:rsidRPr="00F2364C">
        <w:rPr>
          <w:rFonts w:asciiTheme="majorBidi" w:hAnsiTheme="majorBidi" w:cstheme="majorBidi"/>
          <w:b/>
          <w:bCs/>
          <w:color w:val="244061" w:themeColor="accent1" w:themeShade="80"/>
          <w:sz w:val="24"/>
          <w:szCs w:val="24"/>
        </w:rPr>
        <w:t xml:space="preserve">Indications bibliographiques : </w:t>
      </w:r>
    </w:p>
    <w:p w:rsidR="004F0BC2" w:rsidRPr="00F2364C" w:rsidRDefault="004F0BC2" w:rsidP="004F0BC2">
      <w:pPr>
        <w:jc w:val="both"/>
        <w:rPr>
          <w:rFonts w:asciiTheme="majorBidi" w:hAnsiTheme="majorBidi" w:cstheme="majorBidi"/>
          <w:color w:val="244061" w:themeColor="accent1" w:themeShade="80"/>
        </w:rPr>
      </w:pPr>
      <w:r w:rsidRPr="00F2364C">
        <w:rPr>
          <w:rStyle w:val="uppercase"/>
          <w:rFonts w:asciiTheme="majorBidi" w:hAnsiTheme="majorBidi" w:cstheme="majorBidi"/>
          <w:color w:val="244061" w:themeColor="accent1" w:themeShade="80"/>
          <w:shd w:val="clear" w:color="auto" w:fill="FFFFFF"/>
        </w:rPr>
        <w:t>Vassevière</w:t>
      </w:r>
      <w:r w:rsidRPr="00F2364C">
        <w:rPr>
          <w:rFonts w:asciiTheme="majorBidi" w:hAnsiTheme="majorBidi" w:cstheme="majorBidi"/>
          <w:color w:val="244061" w:themeColor="accent1" w:themeShade="80"/>
          <w:shd w:val="clear" w:color="auto" w:fill="FFFFFF"/>
        </w:rPr>
        <w:t>, Jacques. « Fiche 25. Le nom et ses déterminants »,  </w:t>
      </w:r>
      <w:r w:rsidRPr="00F2364C">
        <w:rPr>
          <w:rFonts w:asciiTheme="majorBidi" w:hAnsiTheme="majorBidi" w:cstheme="majorBidi"/>
          <w:i/>
          <w:iCs/>
          <w:color w:val="244061" w:themeColor="accent1" w:themeShade="80"/>
          <w:shd w:val="clear" w:color="auto" w:fill="FFFFFF"/>
        </w:rPr>
        <w:t>L'orthographe, le lexique et la syntaxe. En 100 fiches et 150 exercices</w:t>
      </w:r>
      <w:r w:rsidRPr="00F2364C">
        <w:rPr>
          <w:rFonts w:asciiTheme="majorBidi" w:hAnsiTheme="majorBidi" w:cstheme="majorBidi"/>
          <w:color w:val="244061" w:themeColor="accent1" w:themeShade="80"/>
          <w:shd w:val="clear" w:color="auto" w:fill="FFFFFF"/>
        </w:rPr>
        <w:t>, sous la direction de </w:t>
      </w:r>
      <w:r w:rsidRPr="00F2364C">
        <w:rPr>
          <w:rStyle w:val="uppercase"/>
          <w:rFonts w:asciiTheme="majorBidi" w:hAnsiTheme="majorBidi" w:cstheme="majorBidi"/>
          <w:color w:val="244061" w:themeColor="accent1" w:themeShade="80"/>
          <w:shd w:val="clear" w:color="auto" w:fill="FFFFFF"/>
        </w:rPr>
        <w:t>Vassevière</w:t>
      </w:r>
      <w:r w:rsidRPr="00F2364C">
        <w:rPr>
          <w:rFonts w:asciiTheme="majorBidi" w:hAnsiTheme="majorBidi" w:cstheme="majorBidi"/>
          <w:color w:val="244061" w:themeColor="accent1" w:themeShade="80"/>
          <w:shd w:val="clear" w:color="auto" w:fill="FFFFFF"/>
        </w:rPr>
        <w:t> Jacques. Armand Colin, 2018, pp. 69-70.</w:t>
      </w:r>
    </w:p>
    <w:p w:rsidR="004F0BC2" w:rsidRPr="00F2364C" w:rsidRDefault="004F0BC2" w:rsidP="004F0BC2">
      <w:pPr>
        <w:jc w:val="both"/>
        <w:rPr>
          <w:color w:val="244061" w:themeColor="accent1" w:themeShade="80"/>
        </w:rPr>
      </w:pPr>
    </w:p>
    <w:p w:rsidR="00F85AA3" w:rsidRPr="00F2364C" w:rsidRDefault="00F85AA3">
      <w:pPr>
        <w:rPr>
          <w:color w:val="244061" w:themeColor="accent1" w:themeShade="80"/>
        </w:rPr>
      </w:pPr>
    </w:p>
    <w:sectPr w:rsidR="00F85AA3" w:rsidRPr="00F2364C" w:rsidSect="00357E19">
      <w:pgSz w:w="11906" w:h="16838"/>
      <w:pgMar w:top="720" w:right="707" w:bottom="720" w:left="720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F62"/>
    <w:multiLevelType w:val="multilevel"/>
    <w:tmpl w:val="0208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056AF"/>
    <w:multiLevelType w:val="multilevel"/>
    <w:tmpl w:val="87DA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54057"/>
    <w:multiLevelType w:val="hybridMultilevel"/>
    <w:tmpl w:val="E0B062E0"/>
    <w:lvl w:ilvl="0" w:tplc="93606D76">
      <w:start w:val="2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3">
    <w:nsid w:val="3E84206D"/>
    <w:multiLevelType w:val="multilevel"/>
    <w:tmpl w:val="39D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D71"/>
    <w:multiLevelType w:val="hybridMultilevel"/>
    <w:tmpl w:val="57942BD2"/>
    <w:lvl w:ilvl="0" w:tplc="77BA7F76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5" w:hanging="360"/>
      </w:pPr>
    </w:lvl>
    <w:lvl w:ilvl="2" w:tplc="040C001B" w:tentative="1">
      <w:start w:val="1"/>
      <w:numFmt w:val="lowerRoman"/>
      <w:lvlText w:val="%3."/>
      <w:lvlJc w:val="right"/>
      <w:pPr>
        <w:ind w:left="2315" w:hanging="180"/>
      </w:pPr>
    </w:lvl>
    <w:lvl w:ilvl="3" w:tplc="040C000F" w:tentative="1">
      <w:start w:val="1"/>
      <w:numFmt w:val="decimal"/>
      <w:lvlText w:val="%4."/>
      <w:lvlJc w:val="left"/>
      <w:pPr>
        <w:ind w:left="3035" w:hanging="360"/>
      </w:pPr>
    </w:lvl>
    <w:lvl w:ilvl="4" w:tplc="040C0019" w:tentative="1">
      <w:start w:val="1"/>
      <w:numFmt w:val="lowerLetter"/>
      <w:lvlText w:val="%5."/>
      <w:lvlJc w:val="left"/>
      <w:pPr>
        <w:ind w:left="3755" w:hanging="360"/>
      </w:pPr>
    </w:lvl>
    <w:lvl w:ilvl="5" w:tplc="040C001B" w:tentative="1">
      <w:start w:val="1"/>
      <w:numFmt w:val="lowerRoman"/>
      <w:lvlText w:val="%6."/>
      <w:lvlJc w:val="right"/>
      <w:pPr>
        <w:ind w:left="4475" w:hanging="180"/>
      </w:pPr>
    </w:lvl>
    <w:lvl w:ilvl="6" w:tplc="040C000F" w:tentative="1">
      <w:start w:val="1"/>
      <w:numFmt w:val="decimal"/>
      <w:lvlText w:val="%7."/>
      <w:lvlJc w:val="left"/>
      <w:pPr>
        <w:ind w:left="5195" w:hanging="360"/>
      </w:pPr>
    </w:lvl>
    <w:lvl w:ilvl="7" w:tplc="040C0019" w:tentative="1">
      <w:start w:val="1"/>
      <w:numFmt w:val="lowerLetter"/>
      <w:lvlText w:val="%8."/>
      <w:lvlJc w:val="left"/>
      <w:pPr>
        <w:ind w:left="5915" w:hanging="360"/>
      </w:pPr>
    </w:lvl>
    <w:lvl w:ilvl="8" w:tplc="040C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">
    <w:nsid w:val="4B720698"/>
    <w:multiLevelType w:val="multilevel"/>
    <w:tmpl w:val="20409576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5" w:hanging="1800"/>
      </w:pPr>
      <w:rPr>
        <w:rFonts w:hint="default"/>
      </w:rPr>
    </w:lvl>
  </w:abstractNum>
  <w:abstractNum w:abstractNumId="6">
    <w:nsid w:val="5D777411"/>
    <w:multiLevelType w:val="hybridMultilevel"/>
    <w:tmpl w:val="2CECC710"/>
    <w:lvl w:ilvl="0" w:tplc="E4120C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722A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5F921D70"/>
    <w:multiLevelType w:val="hybridMultilevel"/>
    <w:tmpl w:val="FD3A5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1DBB"/>
    <w:multiLevelType w:val="hybridMultilevel"/>
    <w:tmpl w:val="18EA4BEA"/>
    <w:lvl w:ilvl="0" w:tplc="BBEC04B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2D099B"/>
    <w:multiLevelType w:val="hybridMultilevel"/>
    <w:tmpl w:val="C3A292F0"/>
    <w:lvl w:ilvl="0" w:tplc="6C00D7F6">
      <w:start w:val="1"/>
      <w:numFmt w:val="upperRoman"/>
      <w:lvlText w:val="%1."/>
      <w:lvlJc w:val="left"/>
      <w:pPr>
        <w:ind w:left="515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235" w:hanging="360"/>
      </w:pPr>
    </w:lvl>
    <w:lvl w:ilvl="2" w:tplc="040C001B" w:tentative="1">
      <w:start w:val="1"/>
      <w:numFmt w:val="lowerRoman"/>
      <w:lvlText w:val="%3."/>
      <w:lvlJc w:val="right"/>
      <w:pPr>
        <w:ind w:left="1955" w:hanging="180"/>
      </w:pPr>
    </w:lvl>
    <w:lvl w:ilvl="3" w:tplc="040C000F" w:tentative="1">
      <w:start w:val="1"/>
      <w:numFmt w:val="decimal"/>
      <w:lvlText w:val="%4."/>
      <w:lvlJc w:val="left"/>
      <w:pPr>
        <w:ind w:left="2675" w:hanging="360"/>
      </w:pPr>
    </w:lvl>
    <w:lvl w:ilvl="4" w:tplc="040C0019" w:tentative="1">
      <w:start w:val="1"/>
      <w:numFmt w:val="lowerLetter"/>
      <w:lvlText w:val="%5."/>
      <w:lvlJc w:val="left"/>
      <w:pPr>
        <w:ind w:left="3395" w:hanging="360"/>
      </w:pPr>
    </w:lvl>
    <w:lvl w:ilvl="5" w:tplc="040C001B" w:tentative="1">
      <w:start w:val="1"/>
      <w:numFmt w:val="lowerRoman"/>
      <w:lvlText w:val="%6."/>
      <w:lvlJc w:val="right"/>
      <w:pPr>
        <w:ind w:left="4115" w:hanging="180"/>
      </w:pPr>
    </w:lvl>
    <w:lvl w:ilvl="6" w:tplc="040C000F" w:tentative="1">
      <w:start w:val="1"/>
      <w:numFmt w:val="decimal"/>
      <w:lvlText w:val="%7."/>
      <w:lvlJc w:val="left"/>
      <w:pPr>
        <w:ind w:left="4835" w:hanging="360"/>
      </w:pPr>
    </w:lvl>
    <w:lvl w:ilvl="7" w:tplc="040C0019" w:tentative="1">
      <w:start w:val="1"/>
      <w:numFmt w:val="lowerLetter"/>
      <w:lvlText w:val="%8."/>
      <w:lvlJc w:val="left"/>
      <w:pPr>
        <w:ind w:left="5555" w:hanging="360"/>
      </w:pPr>
    </w:lvl>
    <w:lvl w:ilvl="8" w:tplc="040C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F0BC2"/>
    <w:rsid w:val="004B1667"/>
    <w:rsid w:val="004F0BC2"/>
    <w:rsid w:val="007F0E3B"/>
    <w:rsid w:val="00F2364C"/>
    <w:rsid w:val="00F8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C2"/>
  </w:style>
  <w:style w:type="paragraph" w:styleId="Titre1">
    <w:name w:val="heading 1"/>
    <w:basedOn w:val="Normal"/>
    <w:next w:val="Normal"/>
    <w:link w:val="Titre1Car"/>
    <w:uiPriority w:val="9"/>
    <w:qFormat/>
    <w:rsid w:val="004F0BC2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0BC2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0BC2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0BC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0BC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0BC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0BC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0BC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0BC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0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F0BC2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F0BC2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F0BC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4F0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F0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F0B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F0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F0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F0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F0B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F0B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F0B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uppercase">
    <w:name w:val="uppercase"/>
    <w:basedOn w:val="Policepardfaut"/>
    <w:rsid w:val="004F0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2022-11-05T17:14:00Z</dcterms:created>
  <dcterms:modified xsi:type="dcterms:W3CDTF">2023-12-24T09:12:00Z</dcterms:modified>
</cp:coreProperties>
</file>