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56" w:rsidRDefault="005F3E56" w:rsidP="005F3E56">
      <w:pPr>
        <w:tabs>
          <w:tab w:val="right" w:pos="10772"/>
        </w:tabs>
        <w:bidi/>
        <w:jc w:val="center"/>
        <w:rPr>
          <w:rFonts w:ascii="Traditional Arabic" w:hAnsi="Traditional Arabic" w:cs="Traditional Arabic"/>
          <w:sz w:val="32"/>
          <w:szCs w:val="32"/>
          <w:lang w:bidi="ar-DZ"/>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43940" cy="1468755"/>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43940" cy="1468755"/>
                    </a:xfrm>
                    <a:prstGeom prst="rect">
                      <a:avLst/>
                    </a:prstGeom>
                    <a:noFill/>
                  </pic:spPr>
                </pic:pic>
              </a:graphicData>
            </a:graphic>
          </wp:anchor>
        </w:drawing>
      </w:r>
      <w:r>
        <w:rPr>
          <w:rFonts w:ascii="Traditional Arabic" w:hAnsi="Traditional Arabic" w:cs="Traditional Arabic"/>
          <w:sz w:val="32"/>
          <w:szCs w:val="32"/>
          <w:rtl/>
          <w:lang w:bidi="ar-DZ"/>
        </w:rPr>
        <w:t xml:space="preserve">                           </w:t>
      </w:r>
    </w:p>
    <w:p w:rsidR="00C9390A" w:rsidRDefault="005F3E56" w:rsidP="005F3E56">
      <w:pPr>
        <w:tabs>
          <w:tab w:val="right" w:pos="10772"/>
        </w:tabs>
        <w:bidi/>
        <w:spacing w:after="0" w:line="240" w:lineRule="auto"/>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                         </w:t>
      </w:r>
    </w:p>
    <w:p w:rsidR="00C9390A" w:rsidRDefault="00C9390A" w:rsidP="00C9390A">
      <w:pPr>
        <w:tabs>
          <w:tab w:val="right" w:pos="10772"/>
        </w:tabs>
        <w:bidi/>
        <w:spacing w:after="0" w:line="240" w:lineRule="auto"/>
        <w:rPr>
          <w:rFonts w:ascii="Traditional Arabic" w:hAnsi="Traditional Arabic" w:cs="Traditional Arabic" w:hint="cs"/>
          <w:sz w:val="32"/>
          <w:szCs w:val="32"/>
          <w:rtl/>
          <w:lang w:bidi="ar-DZ"/>
        </w:rPr>
      </w:pPr>
    </w:p>
    <w:p w:rsidR="005F3E56" w:rsidRDefault="00C9390A" w:rsidP="00C9390A">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5F3E56">
        <w:rPr>
          <w:rFonts w:ascii="Traditional Arabic" w:hAnsi="Traditional Arabic" w:cs="Traditional Arabic"/>
          <w:b/>
          <w:bCs/>
          <w:sz w:val="32"/>
          <w:szCs w:val="32"/>
          <w:rtl/>
          <w:lang w:bidi="ar-DZ"/>
        </w:rPr>
        <w:t>وحدة: مصادر تاريخ الغرب الإسلامي</w:t>
      </w:r>
      <w:r w:rsidR="005F3E56">
        <w:rPr>
          <w:rFonts w:ascii="Traditional Arabic" w:hAnsi="Traditional Arabic" w:cs="Traditional Arabic"/>
          <w:b/>
          <w:bCs/>
          <w:sz w:val="32"/>
          <w:szCs w:val="32"/>
          <w:rtl/>
          <w:lang w:bidi="ar-DZ"/>
        </w:rPr>
        <w:tab/>
      </w:r>
      <w:r w:rsidR="005F3E56">
        <w:rPr>
          <w:noProof/>
          <w:rt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3940" cy="1468755"/>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43940" cy="1468755"/>
                    </a:xfrm>
                    <a:prstGeom prst="rect">
                      <a:avLst/>
                    </a:prstGeom>
                    <a:noFill/>
                  </pic:spPr>
                </pic:pic>
              </a:graphicData>
            </a:graphic>
          </wp:anchor>
        </w:drawing>
      </w:r>
    </w:p>
    <w:p w:rsidR="005F3E56" w:rsidRDefault="005F3E56" w:rsidP="005F3E56">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إعداد الأستاذ: كمال خلفات</w:t>
      </w:r>
    </w:p>
    <w:p w:rsidR="005F3E56" w:rsidRDefault="005F3E56" w:rsidP="005F3E56">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مستوى: السنة الأولى ماستر-تخصص: تاريخ الغرب الإسلامي</w:t>
      </w:r>
    </w:p>
    <w:p w:rsidR="005F3E56" w:rsidRDefault="005F3E56" w:rsidP="005F3E56">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الموسم الجامعي: 2023/2024</w:t>
      </w:r>
    </w:p>
    <w:p w:rsidR="005F3E56" w:rsidRDefault="005F3E56" w:rsidP="005F3E56">
      <w:pPr>
        <w:bidi/>
        <w:spacing w:after="0" w:line="240" w:lineRule="auto"/>
        <w:jc w:val="center"/>
        <w:rPr>
          <w:rFonts w:ascii="Traditional Arabic" w:hAnsi="Traditional Arabic" w:cs="Traditional Arabic"/>
          <w:b/>
          <w:bCs/>
          <w:sz w:val="32"/>
          <w:szCs w:val="32"/>
          <w:rtl/>
          <w:lang w:bidi="ar-DZ"/>
        </w:rPr>
      </w:pPr>
    </w:p>
    <w:p w:rsidR="005F3E56" w:rsidRDefault="00C9390A" w:rsidP="005F3E56">
      <w:pPr>
        <w:bidi/>
        <w:spacing w:after="0" w:line="240" w:lineRule="auto"/>
        <w:jc w:val="center"/>
        <w:rPr>
          <w:rFonts w:ascii="Traditional Arabic" w:hAnsi="Traditional Arabic" w:cs="Traditional Arabic" w:hint="cs"/>
          <w:b/>
          <w:bCs/>
          <w:sz w:val="40"/>
          <w:szCs w:val="40"/>
          <w:rtl/>
          <w:lang w:bidi="ar-DZ"/>
        </w:rPr>
      </w:pPr>
      <w:r>
        <w:rPr>
          <w:rFonts w:ascii="Traditional Arabic" w:hAnsi="Traditional Arabic" w:cs="Traditional Arabic"/>
          <w:b/>
          <w:bCs/>
          <w:sz w:val="40"/>
          <w:szCs w:val="40"/>
          <w:rtl/>
          <w:lang w:bidi="ar-DZ"/>
        </w:rPr>
        <w:t>المحاضرة ال</w:t>
      </w:r>
      <w:r>
        <w:rPr>
          <w:rFonts w:ascii="Traditional Arabic" w:hAnsi="Traditional Arabic" w:cs="Traditional Arabic" w:hint="cs"/>
          <w:b/>
          <w:bCs/>
          <w:sz w:val="40"/>
          <w:szCs w:val="40"/>
          <w:rtl/>
          <w:lang w:bidi="ar-DZ"/>
        </w:rPr>
        <w:t>خامسة: كتب الفقه والنوازل</w:t>
      </w:r>
    </w:p>
    <w:p w:rsidR="00C9390A" w:rsidRPr="00C9390A" w:rsidRDefault="00C9390A" w:rsidP="00C9390A">
      <w:pPr>
        <w:bidi/>
        <w:spacing w:after="0"/>
        <w:jc w:val="lowKashida"/>
        <w:rPr>
          <w:rFonts w:ascii="Traditional Arabic" w:hAnsi="Traditional Arabic" w:cs="Traditional Arabic" w:hint="cs"/>
          <w:b/>
          <w:bCs/>
          <w:sz w:val="36"/>
          <w:szCs w:val="36"/>
          <w:rtl/>
          <w:lang w:bidi="ar-DZ"/>
        </w:rPr>
      </w:pPr>
      <w:r w:rsidRPr="00C9390A">
        <w:rPr>
          <w:rFonts w:ascii="Traditional Arabic" w:hAnsi="Traditional Arabic" w:cs="Traditional Arabic" w:hint="cs"/>
          <w:b/>
          <w:bCs/>
          <w:sz w:val="36"/>
          <w:szCs w:val="36"/>
          <w:rtl/>
          <w:lang w:bidi="ar-DZ"/>
        </w:rPr>
        <w:t>مقدمة:</w:t>
      </w:r>
    </w:p>
    <w:p w:rsidR="00C9390A" w:rsidRPr="00C9390A" w:rsidRDefault="00C9390A" w:rsidP="00C9390A">
      <w:pPr>
        <w:bidi/>
        <w:spacing w:after="0"/>
        <w:ind w:firstLine="708"/>
        <w:jc w:val="lowKashida"/>
        <w:rPr>
          <w:rFonts w:ascii="Traditional Arabic" w:hAnsi="Traditional Arabic" w:cs="Traditional Arabic" w:hint="cs"/>
          <w:b/>
          <w:bCs/>
          <w:sz w:val="34"/>
          <w:szCs w:val="34"/>
          <w:rtl/>
          <w:lang w:bidi="ar-DZ"/>
        </w:rPr>
      </w:pPr>
      <w:r w:rsidRPr="00C9390A">
        <w:rPr>
          <w:rFonts w:ascii="Traditional Arabic" w:hAnsi="Traditional Arabic" w:cs="Traditional Arabic" w:hint="cs"/>
          <w:b/>
          <w:bCs/>
          <w:sz w:val="34"/>
          <w:szCs w:val="34"/>
          <w:rtl/>
          <w:lang w:bidi="ar-DZ"/>
        </w:rPr>
        <w:t>ثمة مصنفات يحويها التراث الإسلامي لا تنتمي من ناحية العلوم إلى الحقل التاريخي غير أنّها تتضمن نصوصا تاريخية وايماءات غنية وشذرات قيمة، ناهيك مما يتناثر فيها من وثائق هامة تعز في الحوليات التاريخية التقليدية، وتغطي فضاءات اجتماعية واقتصادية، كما أنّها تميط اللثام عن تاريخ المنسيين من البؤساء، وهي المسماة بالمصادر الدفينة أو المصادر اللاإرادي</w:t>
      </w:r>
      <w:r w:rsidRPr="00C9390A">
        <w:rPr>
          <w:rFonts w:ascii="Traditional Arabic" w:hAnsi="Traditional Arabic" w:cs="Traditional Arabic" w:hint="eastAsia"/>
          <w:b/>
          <w:bCs/>
          <w:sz w:val="34"/>
          <w:szCs w:val="34"/>
          <w:rtl/>
          <w:lang w:bidi="ar-DZ"/>
        </w:rPr>
        <w:t>ة</w:t>
      </w:r>
      <w:r w:rsidRPr="00C9390A">
        <w:rPr>
          <w:rFonts w:ascii="Traditional Arabic" w:hAnsi="Traditional Arabic" w:cs="Traditional Arabic" w:hint="cs"/>
          <w:b/>
          <w:bCs/>
          <w:sz w:val="34"/>
          <w:szCs w:val="34"/>
          <w:rtl/>
          <w:lang w:bidi="ar-DZ"/>
        </w:rPr>
        <w:t>، على حد تعبير مارك بلوخ.</w:t>
      </w:r>
    </w:p>
    <w:p w:rsidR="00C9390A" w:rsidRPr="00C9390A" w:rsidRDefault="00C9390A" w:rsidP="00C9390A">
      <w:pPr>
        <w:bidi/>
        <w:spacing w:after="0"/>
        <w:jc w:val="lowKashida"/>
        <w:rPr>
          <w:rFonts w:ascii="Traditional Arabic" w:hAnsi="Traditional Arabic" w:cs="Traditional Arabic" w:hint="cs"/>
          <w:b/>
          <w:bCs/>
          <w:sz w:val="34"/>
          <w:szCs w:val="34"/>
          <w:rtl/>
          <w:lang w:bidi="ar-DZ"/>
        </w:rPr>
      </w:pPr>
      <w:r w:rsidRPr="00C9390A">
        <w:rPr>
          <w:rFonts w:ascii="Traditional Arabic" w:hAnsi="Traditional Arabic" w:cs="Traditional Arabic" w:hint="cs"/>
          <w:b/>
          <w:bCs/>
          <w:sz w:val="34"/>
          <w:szCs w:val="34"/>
          <w:rtl/>
          <w:lang w:bidi="ar-DZ"/>
        </w:rPr>
        <w:tab/>
        <w:t>وسنحاول في هذه المحاضرة رصد بعض المصنفات من هذه المصادر بصفتها نماذج تطبيقية على مجتمع الغرب الإسلامي، يمكن تصنيفها في ما يلي:</w:t>
      </w:r>
    </w:p>
    <w:p w:rsidR="00C9390A" w:rsidRPr="00C9390A" w:rsidRDefault="00C9390A" w:rsidP="00C9390A">
      <w:pPr>
        <w:bidi/>
        <w:spacing w:after="0"/>
        <w:jc w:val="lowKashida"/>
        <w:rPr>
          <w:rFonts w:ascii="Traditional Arabic" w:hAnsi="Traditional Arabic" w:cs="Traditional Arabic" w:hint="cs"/>
          <w:b/>
          <w:bCs/>
          <w:sz w:val="34"/>
          <w:szCs w:val="34"/>
          <w:rtl/>
          <w:lang w:bidi="ar-DZ"/>
        </w:rPr>
      </w:pPr>
      <w:r w:rsidRPr="00C9390A">
        <w:rPr>
          <w:rFonts w:ascii="Traditional Arabic" w:hAnsi="Traditional Arabic" w:cs="Traditional Arabic" w:hint="cs"/>
          <w:b/>
          <w:bCs/>
          <w:sz w:val="34"/>
          <w:szCs w:val="34"/>
          <w:rtl/>
          <w:lang w:bidi="ar-DZ"/>
        </w:rPr>
        <w:t>النوازل الفقهية: أداة مصدرية ثمينة لكشف أوضاع المزارعين بالغرب الإسلامي.</w:t>
      </w: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r w:rsidRPr="00C9390A">
        <w:rPr>
          <w:rFonts w:ascii="Traditional Arabic" w:hAnsi="Traditional Arabic" w:cs="Traditional Arabic" w:hint="cs"/>
          <w:b/>
          <w:bCs/>
          <w:sz w:val="34"/>
          <w:szCs w:val="34"/>
          <w:rtl/>
          <w:lang w:bidi="ar-DZ"/>
        </w:rPr>
        <w:t xml:space="preserve">تعد كتب النوازل دون منازع من </w:t>
      </w:r>
      <w:r w:rsidRPr="00C9390A">
        <w:rPr>
          <w:rFonts w:ascii="Traditional Arabic" w:hAnsi="Traditional Arabic" w:cs="Traditional Arabic" w:hint="cs"/>
          <w:b/>
          <w:bCs/>
          <w:vanish/>
          <w:sz w:val="34"/>
          <w:szCs w:val="34"/>
          <w:rtl/>
          <w:lang w:bidi="ar-DZ"/>
        </w:rPr>
        <w:t xml:space="preserve">همأهم المصادر التي يمكن سد الثغراتسسسسسسسستتت22222سدسسسسس </w:t>
      </w:r>
      <w:r w:rsidRPr="00C9390A">
        <w:rPr>
          <w:rFonts w:ascii="Traditional Arabic" w:hAnsi="Traditional Arabic" w:cs="Traditional Arabic" w:hint="cs"/>
          <w:b/>
          <w:bCs/>
          <w:vanish/>
          <w:sz w:val="34"/>
          <w:szCs w:val="34"/>
          <w:rtl/>
          <w:lang w:bidi="ar-DZ"/>
        </w:rPr>
        <w:tab/>
        <w:t>تتتتننننن5555سسسسس</w:t>
      </w:r>
      <w:r w:rsidRPr="00C9390A">
        <w:rPr>
          <w:rFonts w:ascii="Traditional Arabic" w:hAnsi="Traditional Arabic" w:cs="Traditional Arabic" w:hint="cs"/>
          <w:b/>
          <w:bCs/>
          <w:vanish/>
          <w:sz w:val="34"/>
          <w:szCs w:val="34"/>
          <w:rtl/>
          <w:lang w:bidi="ar-DZ"/>
        </w:rPr>
        <w:tab/>
        <w:t xml:space="preserve">، ،      </w:t>
      </w: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Pr="00C9390A" w:rsidRDefault="00C9390A" w:rsidP="00C9390A">
      <w:pPr>
        <w:bidi/>
        <w:spacing w:after="0"/>
        <w:jc w:val="lowKashida"/>
        <w:rPr>
          <w:rFonts w:ascii="Traditional Arabic" w:hAnsi="Traditional Arabic" w:cs="Traditional Arabic" w:hint="cs"/>
          <w:b/>
          <w:bCs/>
          <w:vanish/>
          <w:sz w:val="34"/>
          <w:szCs w:val="34"/>
          <w:rtl/>
          <w:lang w:bidi="ar-DZ"/>
        </w:rPr>
      </w:pPr>
    </w:p>
    <w:p w:rsidR="00C9390A" w:rsidRDefault="00C9390A" w:rsidP="00C9390A">
      <w:pPr>
        <w:bidi/>
        <w:spacing w:after="0"/>
        <w:jc w:val="lowKashida"/>
        <w:rPr>
          <w:rFonts w:ascii="Traditional Arabic" w:hAnsi="Traditional Arabic" w:cs="Traditional Arabic" w:hint="cs"/>
          <w:b/>
          <w:bCs/>
          <w:sz w:val="34"/>
          <w:szCs w:val="34"/>
          <w:rtl/>
          <w:lang w:bidi="ar-DZ"/>
        </w:rPr>
      </w:pPr>
      <w:r w:rsidRPr="00C9390A">
        <w:rPr>
          <w:rFonts w:ascii="Traditional Arabic" w:hAnsi="Traditional Arabic" w:cs="Traditional Arabic" w:hint="cs"/>
          <w:b/>
          <w:bCs/>
          <w:sz w:val="34"/>
          <w:szCs w:val="34"/>
          <w:rtl/>
          <w:lang w:bidi="ar-DZ"/>
        </w:rPr>
        <w:t xml:space="preserve"> </w:t>
      </w:r>
      <w:r>
        <w:rPr>
          <w:rFonts w:ascii="Traditional Arabic" w:hAnsi="Traditional Arabic" w:cs="Traditional Arabic" w:hint="cs"/>
          <w:b/>
          <w:bCs/>
          <w:sz w:val="34"/>
          <w:szCs w:val="34"/>
          <w:rtl/>
          <w:lang w:bidi="ar-DZ"/>
        </w:rPr>
        <w:t>سد الثغرات التي تعتري التاريخ الإسلامي ويطلق عليها "النوازل" "الفتاوى" "الأجوبة" "الأحكام" "المسائل" وكلها مصطلحات تعكس مفاهيم متقاربة.</w:t>
      </w:r>
    </w:p>
    <w:p w:rsidR="00C9390A" w:rsidRDefault="00C6597D" w:rsidP="00C9390A">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والنازلة من الناحية اللغوية كما وردت في لسان العرب :"الشديدة التي تنزل بالقوم، وهي من شدائد تنزل بالناس".</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أما من الناحية الفقهية: فتعني المشكلات اليومية التي تحدث للناس وتستدعي حلا حسبما تقتضيه الشريعة الإسلامية وبما يتلاءم وقيم المجتمع.</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ab/>
        <w:t>وهي تتألف من شقين "السائل" والمجيب"</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lastRenderedPageBreak/>
        <w:t>وبالرغم من الطابع الفقهي للنازلة، فإنّها تكتسي في ميدان الدراسات التاريخية بعدا هاما يتجلى في أنّها تعكس من خلال السؤل والجواب أوضاعا تاريخية دقيقة من جهة وتتميز بعفويتها وبراءتها من جهة ثانية لأنها لم تصدر من سلطة رسمية، ولم تتلون بلون سياسي ايديولوجي.</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ab/>
        <w:t>فابتعاد المفتي عن السلطة الحاكمة وفر مناخا لحرية فكره دون تدخل السلطة.</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إذن فالنازلة الفقهية تعكس صورة المجتمع في خصوصياته وفي مشاكله وتعقيداته".</w:t>
      </w:r>
    </w:p>
    <w:p w:rsidR="00C6597D" w:rsidRDefault="00C6597D" w:rsidP="00C6597D">
      <w:pPr>
        <w:bidi/>
        <w:spacing w:after="0"/>
        <w:jc w:val="lowKashida"/>
        <w:rPr>
          <w:rFonts w:ascii="Traditional Arabic" w:hAnsi="Traditional Arabic" w:cs="Traditional Arabic" w:hint="cs"/>
          <w:b/>
          <w:bCs/>
          <w:sz w:val="34"/>
          <w:szCs w:val="34"/>
          <w:rtl/>
          <w:lang w:bidi="ar-DZ"/>
        </w:rPr>
      </w:pPr>
      <w:r>
        <w:rPr>
          <w:rFonts w:ascii="Traditional Arabic" w:hAnsi="Traditional Arabic" w:cs="Traditional Arabic" w:hint="cs"/>
          <w:b/>
          <w:bCs/>
          <w:sz w:val="34"/>
          <w:szCs w:val="34"/>
          <w:rtl/>
          <w:lang w:bidi="ar-DZ"/>
        </w:rPr>
        <w:t>قائمة المصادر والمراجع:</w:t>
      </w:r>
    </w:p>
    <w:p w:rsidR="00C6597D" w:rsidRPr="00DF43A0" w:rsidRDefault="00C6597D" w:rsidP="00C6597D">
      <w:pPr>
        <w:bidi/>
        <w:jc w:val="lowKashida"/>
        <w:rPr>
          <w:rFonts w:ascii="Traditional Arabic" w:hAnsi="Traditional Arabic" w:cs="Traditional Arabic"/>
          <w:b/>
          <w:bCs/>
          <w:sz w:val="34"/>
          <w:szCs w:val="34"/>
          <w:rtl/>
        </w:rPr>
      </w:pPr>
      <w:r w:rsidRPr="00DF43A0">
        <w:rPr>
          <w:rFonts w:ascii="Traditional Arabic" w:hAnsi="Traditional Arabic" w:cs="Traditional Arabic"/>
          <w:b/>
          <w:bCs/>
          <w:sz w:val="34"/>
          <w:szCs w:val="34"/>
          <w:rtl/>
        </w:rPr>
        <w:t>المصادر:</w:t>
      </w:r>
    </w:p>
    <w:p w:rsidR="00C6597D" w:rsidRPr="003A4A03" w:rsidRDefault="00C6597D" w:rsidP="00C6597D">
      <w:pPr>
        <w:bidi/>
        <w:spacing w:after="0"/>
        <w:jc w:val="lowKashida"/>
        <w:rPr>
          <w:rFonts w:ascii="Traditional Arabic" w:hAnsi="Traditional Arabic" w:cs="Traditional Arabic"/>
          <w:sz w:val="34"/>
          <w:szCs w:val="34"/>
        </w:rPr>
      </w:pPr>
      <w:r w:rsidRPr="003A4A03">
        <w:rPr>
          <w:rFonts w:ascii="Traditional Arabic" w:hAnsi="Traditional Arabic" w:cs="Traditional Arabic"/>
          <w:sz w:val="34"/>
          <w:szCs w:val="34"/>
          <w:rtl/>
        </w:rPr>
        <w:t>ابن أبي زيد: القيرواني (ت386ﻫ</w:t>
      </w:r>
      <w:r>
        <w:rPr>
          <w:rFonts w:ascii="Traditional Arabic" w:hAnsi="Traditional Arabic" w:cs="Traditional Arabic"/>
          <w:sz w:val="34"/>
          <w:szCs w:val="34"/>
          <w:rtl/>
        </w:rPr>
        <w:t>/996م):</w:t>
      </w:r>
      <w:r w:rsidRPr="003A4A03">
        <w:rPr>
          <w:rFonts w:ascii="Traditional Arabic" w:hAnsi="Traditional Arabic" w:cs="Traditional Arabic"/>
          <w:sz w:val="34"/>
          <w:szCs w:val="34"/>
          <w:rtl/>
        </w:rPr>
        <w:t xml:space="preserve"> النوادر والزيادات على ما في المدونة من غيرها من الأمهات، تحقيق : محمد الأمين بوخبزة، ط1، دار الغرب الاسلامي-بيروت، 1999م.</w:t>
      </w:r>
    </w:p>
    <w:p w:rsidR="00C6597D" w:rsidRPr="003A4A03" w:rsidRDefault="00C6597D" w:rsidP="00DF43A0">
      <w:pPr>
        <w:bidi/>
        <w:spacing w:after="0"/>
        <w:jc w:val="lowKashida"/>
        <w:rPr>
          <w:rFonts w:ascii="Traditional Arabic" w:hAnsi="Traditional Arabic" w:cs="Traditional Arabic"/>
          <w:sz w:val="34"/>
          <w:szCs w:val="34"/>
        </w:rPr>
      </w:pPr>
      <w:r w:rsidRPr="003A4A03">
        <w:rPr>
          <w:rFonts w:ascii="Traditional Arabic" w:hAnsi="Traditional Arabic" w:cs="Traditional Arabic"/>
          <w:sz w:val="34"/>
          <w:szCs w:val="34"/>
          <w:rtl/>
        </w:rPr>
        <w:t>ابن الحاج: أبي عبد الله محمد بن</w:t>
      </w:r>
      <w:r w:rsidR="00DF43A0">
        <w:rPr>
          <w:rFonts w:ascii="Traditional Arabic" w:hAnsi="Traditional Arabic" w:cs="Traditional Arabic"/>
          <w:sz w:val="34"/>
          <w:szCs w:val="34"/>
          <w:rtl/>
        </w:rPr>
        <w:t xml:space="preserve"> محمد العبدري(737ﻫ/1336م):  </w:t>
      </w:r>
      <w:r w:rsidRPr="003A4A03">
        <w:rPr>
          <w:rFonts w:ascii="Traditional Arabic" w:hAnsi="Traditional Arabic" w:cs="Traditional Arabic"/>
          <w:sz w:val="34"/>
          <w:szCs w:val="34"/>
          <w:rtl/>
        </w:rPr>
        <w:t>المدخل، (د.ط)، مكتبة دار التراث للنشر-القاهرة، (د.ت).</w:t>
      </w:r>
    </w:p>
    <w:p w:rsidR="00C6597D" w:rsidRPr="003A4A03" w:rsidRDefault="00C6597D" w:rsidP="00DF43A0">
      <w:pPr>
        <w:bidi/>
        <w:spacing w:after="0"/>
        <w:jc w:val="lowKashida"/>
        <w:rPr>
          <w:rFonts w:ascii="Traditional Arabic" w:hAnsi="Traditional Arabic" w:cs="Traditional Arabic"/>
          <w:sz w:val="34"/>
          <w:szCs w:val="34"/>
        </w:rPr>
      </w:pPr>
      <w:r w:rsidRPr="003A4A03">
        <w:rPr>
          <w:rFonts w:ascii="Traditional Arabic" w:hAnsi="Traditional Arabic" w:cs="Traditional Arabic"/>
          <w:sz w:val="34"/>
          <w:szCs w:val="34"/>
          <w:rtl/>
        </w:rPr>
        <w:t>ابن رشد: أبو الوليد</w:t>
      </w:r>
      <w:r w:rsidR="00DF43A0">
        <w:rPr>
          <w:rFonts w:ascii="Traditional Arabic" w:hAnsi="Traditional Arabic" w:cs="Traditional Arabic"/>
          <w:sz w:val="34"/>
          <w:szCs w:val="34"/>
          <w:rtl/>
        </w:rPr>
        <w:t xml:space="preserve"> محمد بن أحمد(ت520ﻫ/1126م): </w:t>
      </w:r>
      <w:r w:rsidRPr="003A4A03">
        <w:rPr>
          <w:rFonts w:ascii="Traditional Arabic" w:hAnsi="Traditional Arabic" w:cs="Traditional Arabic"/>
          <w:sz w:val="34"/>
          <w:szCs w:val="34"/>
          <w:rtl/>
        </w:rPr>
        <w:t>المقدمات والممهدات، تحقيق : سعيد أحمد بن أعراب، ط1، دار الغرب الاسلامي-بيروت، 1408ﻫ/1988م.</w:t>
      </w:r>
    </w:p>
    <w:p w:rsidR="00C6597D" w:rsidRPr="003A4A03" w:rsidRDefault="00DF43A0" w:rsidP="00DF43A0">
      <w:pPr>
        <w:bidi/>
        <w:jc w:val="lowKashida"/>
        <w:rPr>
          <w:rFonts w:ascii="Traditional Arabic" w:hAnsi="Traditional Arabic" w:cs="Traditional Arabic"/>
          <w:sz w:val="34"/>
          <w:szCs w:val="34"/>
        </w:rPr>
      </w:pPr>
      <w:r>
        <w:rPr>
          <w:rFonts w:ascii="Traditional Arabic" w:hAnsi="Traditional Arabic" w:cs="Traditional Arabic" w:hint="cs"/>
          <w:sz w:val="34"/>
          <w:szCs w:val="34"/>
          <w:rtl/>
        </w:rPr>
        <w:t>-</w:t>
      </w:r>
      <w:r w:rsidR="00C6597D" w:rsidRPr="003A4A03">
        <w:rPr>
          <w:rFonts w:ascii="Traditional Arabic" w:hAnsi="Traditional Arabic" w:cs="Traditional Arabic"/>
          <w:sz w:val="34"/>
          <w:szCs w:val="34"/>
          <w:rtl/>
        </w:rPr>
        <w:t xml:space="preserve"> المقدمات والممهدات،تحقيق: محمد حجي،ط1،دار الغرب الاسلامي-بيروت،1408ﻫ/ 1988م.</w:t>
      </w:r>
    </w:p>
    <w:p w:rsidR="00C6597D" w:rsidRPr="003A4A03" w:rsidRDefault="00C6597D" w:rsidP="00DF43A0">
      <w:pPr>
        <w:bidi/>
        <w:spacing w:after="0"/>
        <w:jc w:val="lowKashida"/>
        <w:rPr>
          <w:rFonts w:ascii="Traditional Arabic" w:hAnsi="Traditional Arabic" w:cs="Traditional Arabic"/>
          <w:sz w:val="34"/>
          <w:szCs w:val="34"/>
        </w:rPr>
      </w:pPr>
      <w:r w:rsidRPr="003A4A03">
        <w:rPr>
          <w:rFonts w:ascii="Traditional Arabic" w:hAnsi="Traditional Arabic" w:cs="Traditional Arabic"/>
          <w:sz w:val="34"/>
          <w:szCs w:val="34"/>
          <w:rtl/>
        </w:rPr>
        <w:t>عياض : أبو الفضل بن موسى اليحصبي السبتي (ت 544ﻫ/1149م) :  ترتيب المدار</w:t>
      </w:r>
      <w:r w:rsidR="00DF43A0">
        <w:rPr>
          <w:rFonts w:ascii="Traditional Arabic" w:hAnsi="Traditional Arabic" w:cs="Traditional Arabic"/>
          <w:sz w:val="34"/>
          <w:szCs w:val="34"/>
          <w:rtl/>
        </w:rPr>
        <w:t>ك وتقريب المسالك لمعرفة أعلام م</w:t>
      </w:r>
      <w:r w:rsidR="00DF43A0">
        <w:rPr>
          <w:rFonts w:ascii="Traditional Arabic" w:hAnsi="Traditional Arabic" w:cs="Traditional Arabic" w:hint="cs"/>
          <w:sz w:val="34"/>
          <w:szCs w:val="34"/>
          <w:rtl/>
        </w:rPr>
        <w:t>ذ</w:t>
      </w:r>
      <w:r w:rsidRPr="003A4A03">
        <w:rPr>
          <w:rFonts w:ascii="Traditional Arabic" w:hAnsi="Traditional Arabic" w:cs="Traditional Arabic"/>
          <w:sz w:val="34"/>
          <w:szCs w:val="34"/>
          <w:rtl/>
        </w:rPr>
        <w:t>هب مالك، تحقيق : محمد سالم هاشم، ط1، دار الكتب العلمية-بيروت، 1418ﻫ/1998م.</w:t>
      </w:r>
    </w:p>
    <w:p w:rsidR="00C6597D" w:rsidRPr="003A4A03" w:rsidRDefault="00C6597D" w:rsidP="00DF43A0">
      <w:pPr>
        <w:bidi/>
        <w:spacing w:after="0"/>
        <w:jc w:val="lowKashida"/>
        <w:rPr>
          <w:rFonts w:ascii="Traditional Arabic" w:hAnsi="Traditional Arabic" w:cs="Traditional Arabic"/>
          <w:sz w:val="34"/>
          <w:szCs w:val="34"/>
        </w:rPr>
      </w:pPr>
      <w:r w:rsidRPr="003A4A03">
        <w:rPr>
          <w:rFonts w:ascii="Traditional Arabic" w:hAnsi="Traditional Arabic" w:cs="Traditional Arabic"/>
          <w:sz w:val="34"/>
          <w:szCs w:val="34"/>
          <w:rtl/>
        </w:rPr>
        <w:t>الهنتاتي : أبو العباس أحمد الشماع (833ﻫ/1429</w:t>
      </w:r>
      <w:r w:rsidR="00DF43A0">
        <w:rPr>
          <w:rFonts w:ascii="Traditional Arabic" w:hAnsi="Traditional Arabic" w:cs="Traditional Arabic"/>
          <w:sz w:val="34"/>
          <w:szCs w:val="34"/>
          <w:rtl/>
        </w:rPr>
        <w:t xml:space="preserve">م) :  </w:t>
      </w:r>
      <w:r w:rsidRPr="003A4A03">
        <w:rPr>
          <w:rFonts w:ascii="Traditional Arabic" w:hAnsi="Traditional Arabic" w:cs="Traditional Arabic"/>
          <w:sz w:val="34"/>
          <w:szCs w:val="34"/>
          <w:rtl/>
        </w:rPr>
        <w:t>مطالع التمام ونصائح الأنام ومنجاة الخواص والعوام في رد القول باباحة اغرام ذوي الجنايات والاجرام زيادة على ما شرع الله من الحدود والأحكام، تحقيق : عبد الخالق أحمدون، منشورات وزارة الأوقاف والشؤون الاسلامية-المغرب، 1424ﻫ/2003م.</w:t>
      </w:r>
    </w:p>
    <w:p w:rsidR="00C6597D" w:rsidRDefault="00C6597D" w:rsidP="00DF43A0">
      <w:pPr>
        <w:bidi/>
        <w:spacing w:after="0"/>
        <w:jc w:val="lowKashida"/>
        <w:rPr>
          <w:rFonts w:ascii="Traditional Arabic" w:hAnsi="Traditional Arabic" w:cs="Traditional Arabic" w:hint="cs"/>
          <w:sz w:val="34"/>
          <w:szCs w:val="34"/>
          <w:rtl/>
        </w:rPr>
      </w:pPr>
      <w:r w:rsidRPr="003A4A03">
        <w:rPr>
          <w:rFonts w:ascii="Traditional Arabic" w:hAnsi="Traditional Arabic" w:cs="Traditional Arabic"/>
          <w:sz w:val="34"/>
          <w:szCs w:val="34"/>
          <w:rtl/>
        </w:rPr>
        <w:t>الونشريسي :أبو العباس أحمد بن يحيى (ت 914ﻫ/1508م) :  المعيار المعرب والجامع المغرب عن فتاوى أفريقية والأندلس والمغرب، تحقيق : محمد حجي، نشر وزارة الأوقاف والشؤون الاسلامية للمملكة المغربية، 1401ﻫ/1981م.</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t>البرزلي: جامع مسايل الأحكام لما نزل بالقضايا من المفتين الحكام.</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t>المازوني: الدرر المكنونة في نوازل مازونة</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lastRenderedPageBreak/>
        <w:t>محمد فتحة: النوازل الفقهية والمجتمع</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t>-دلال لواتي: نوازل المغرب الأوسط</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t>-محمد حجي: نزرات في النوازل الفقهية</w:t>
      </w:r>
    </w:p>
    <w:p w:rsidR="00DF43A0" w:rsidRDefault="00DF43A0" w:rsidP="00DF43A0">
      <w:pPr>
        <w:bidi/>
        <w:spacing w:after="0"/>
        <w:jc w:val="lowKashida"/>
        <w:rPr>
          <w:rFonts w:ascii="Traditional Arabic" w:hAnsi="Traditional Arabic" w:cs="Traditional Arabic" w:hint="cs"/>
          <w:sz w:val="34"/>
          <w:szCs w:val="34"/>
          <w:rtl/>
        </w:rPr>
      </w:pPr>
      <w:r>
        <w:rPr>
          <w:rFonts w:ascii="Traditional Arabic" w:hAnsi="Traditional Arabic" w:cs="Traditional Arabic" w:hint="cs"/>
          <w:sz w:val="34"/>
          <w:szCs w:val="34"/>
          <w:rtl/>
        </w:rPr>
        <w:t>-بوبة مجاني: كتب النوازل والأحكام مصدر للتاريخ</w:t>
      </w:r>
    </w:p>
    <w:p w:rsidR="00DF43A0" w:rsidRPr="003A4A03" w:rsidRDefault="00DF43A0" w:rsidP="00DF43A0">
      <w:pPr>
        <w:bidi/>
        <w:spacing w:after="0"/>
        <w:jc w:val="lowKashida"/>
        <w:rPr>
          <w:rFonts w:ascii="Traditional Arabic" w:hAnsi="Traditional Arabic" w:cs="Traditional Arabic"/>
          <w:sz w:val="34"/>
          <w:szCs w:val="34"/>
        </w:rPr>
      </w:pPr>
      <w:r>
        <w:rPr>
          <w:rFonts w:ascii="Traditional Arabic" w:hAnsi="Traditional Arabic" w:cs="Traditional Arabic" w:hint="cs"/>
          <w:sz w:val="34"/>
          <w:szCs w:val="34"/>
          <w:rtl/>
        </w:rPr>
        <w:t>-سهام دحماني: المصطلحات الاقتصادية في الكتب النوازل</w:t>
      </w:r>
    </w:p>
    <w:p w:rsidR="00C6597D" w:rsidRPr="00C6597D" w:rsidRDefault="00C6597D" w:rsidP="00C6597D">
      <w:pPr>
        <w:bidi/>
        <w:spacing w:after="0"/>
        <w:jc w:val="lowKashida"/>
        <w:rPr>
          <w:rFonts w:ascii="Traditional Arabic" w:hAnsi="Traditional Arabic" w:cs="Traditional Arabic"/>
          <w:b/>
          <w:bCs/>
          <w:sz w:val="34"/>
          <w:szCs w:val="34"/>
          <w:rtl/>
          <w:lang w:bidi="ar-DZ"/>
        </w:rPr>
      </w:pPr>
    </w:p>
    <w:p w:rsidR="00750300" w:rsidRDefault="00750300"/>
    <w:sectPr w:rsidR="00750300" w:rsidSect="00C9390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02" w:rsidRDefault="00DE3E02" w:rsidP="00DF43A0">
      <w:pPr>
        <w:spacing w:after="0" w:line="240" w:lineRule="auto"/>
      </w:pPr>
      <w:r>
        <w:separator/>
      </w:r>
    </w:p>
  </w:endnote>
  <w:endnote w:type="continuationSeparator" w:id="1">
    <w:p w:rsidR="00DE3E02" w:rsidRDefault="00DE3E02" w:rsidP="00DF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42"/>
      <w:docPartObj>
        <w:docPartGallery w:val="Page Numbers (Bottom of Page)"/>
        <w:docPartUnique/>
      </w:docPartObj>
    </w:sdtPr>
    <w:sdtContent>
      <w:p w:rsidR="00DF43A0" w:rsidRDefault="00DF43A0">
        <w:pPr>
          <w:pStyle w:val="Pieddepage"/>
          <w:jc w:val="center"/>
        </w:pPr>
        <w:fldSimple w:instr=" PAGE   \* MERGEFORMAT ">
          <w:r>
            <w:rPr>
              <w:noProof/>
            </w:rPr>
            <w:t>2</w:t>
          </w:r>
        </w:fldSimple>
      </w:p>
    </w:sdtContent>
  </w:sdt>
  <w:p w:rsidR="00DF43A0" w:rsidRDefault="00DF43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02" w:rsidRDefault="00DE3E02" w:rsidP="00DF43A0">
      <w:pPr>
        <w:spacing w:after="0" w:line="240" w:lineRule="auto"/>
      </w:pPr>
      <w:r>
        <w:separator/>
      </w:r>
    </w:p>
  </w:footnote>
  <w:footnote w:type="continuationSeparator" w:id="1">
    <w:p w:rsidR="00DE3E02" w:rsidRDefault="00DE3E02" w:rsidP="00DF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A86"/>
    <w:multiLevelType w:val="hybridMultilevel"/>
    <w:tmpl w:val="7E363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94C88"/>
    <w:multiLevelType w:val="hybridMultilevel"/>
    <w:tmpl w:val="9CB677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C7492C"/>
    <w:multiLevelType w:val="hybridMultilevel"/>
    <w:tmpl w:val="C510A4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622768"/>
    <w:multiLevelType w:val="hybridMultilevel"/>
    <w:tmpl w:val="D026ED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F93AB7"/>
    <w:multiLevelType w:val="hybridMultilevel"/>
    <w:tmpl w:val="815E8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5F3E56"/>
    <w:rsid w:val="005C510D"/>
    <w:rsid w:val="005F3E56"/>
    <w:rsid w:val="00750300"/>
    <w:rsid w:val="00C6597D"/>
    <w:rsid w:val="00C9390A"/>
    <w:rsid w:val="00DE3E02"/>
    <w:rsid w:val="00DF43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F43A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F43A0"/>
  </w:style>
  <w:style w:type="paragraph" w:styleId="Pieddepage">
    <w:name w:val="footer"/>
    <w:basedOn w:val="Normal"/>
    <w:link w:val="PieddepageCar"/>
    <w:uiPriority w:val="99"/>
    <w:unhideWhenUsed/>
    <w:rsid w:val="00DF43A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F43A0"/>
  </w:style>
</w:styles>
</file>

<file path=word/webSettings.xml><?xml version="1.0" encoding="utf-8"?>
<w:webSettings xmlns:r="http://schemas.openxmlformats.org/officeDocument/2006/relationships" xmlns:w="http://schemas.openxmlformats.org/wordprocessingml/2006/main">
  <w:divs>
    <w:div w:id="17198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4</cp:revision>
  <dcterms:created xsi:type="dcterms:W3CDTF">2023-12-22T18:33:00Z</dcterms:created>
  <dcterms:modified xsi:type="dcterms:W3CDTF">2023-12-24T10:10:00Z</dcterms:modified>
</cp:coreProperties>
</file>