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5952" w14:textId="4FB1F206" w:rsidR="00F00F4B" w:rsidRPr="007910C8" w:rsidRDefault="00F00F4B" w:rsidP="007910C8">
      <w:pPr>
        <w:bidi/>
        <w:jc w:val="both"/>
        <w:rPr>
          <w:rFonts w:ascii="Sakkal Majalla" w:hAnsi="Sakkal Majalla" w:cs="Sakkal Majalla"/>
          <w:sz w:val="32"/>
          <w:szCs w:val="32"/>
          <w:rtl/>
          <w:lang w:bidi="ar-DZ"/>
        </w:rPr>
      </w:pPr>
      <w:r w:rsidRPr="007910C8">
        <w:rPr>
          <w:rFonts w:ascii="Sakkal Majalla" w:hAnsi="Sakkal Majalla" w:cs="Sakkal Majalla"/>
          <w:sz w:val="32"/>
          <w:szCs w:val="32"/>
          <w:rtl/>
          <w:lang w:bidi="ar-DZ"/>
        </w:rPr>
        <w:t>دروس التفكير الدلالي سداسي 1</w:t>
      </w:r>
    </w:p>
    <w:p w14:paraId="7A29B0C5" w14:textId="5989F5C3" w:rsidR="00F00F4B" w:rsidRPr="007910C8" w:rsidRDefault="00F00F4B" w:rsidP="007910C8">
      <w:pPr>
        <w:bidi/>
        <w:jc w:val="center"/>
        <w:rPr>
          <w:rFonts w:ascii="Sakkal Majalla" w:hAnsi="Sakkal Majalla" w:cs="Sakkal Majalla"/>
          <w:b/>
          <w:bCs/>
          <w:sz w:val="36"/>
          <w:szCs w:val="36"/>
          <w:rtl/>
          <w:lang w:bidi="ar-DZ"/>
        </w:rPr>
      </w:pPr>
      <w:r w:rsidRPr="007910C8">
        <w:rPr>
          <w:rFonts w:ascii="Sakkal Majalla" w:hAnsi="Sakkal Majalla" w:cs="Sakkal Majalla"/>
          <w:b/>
          <w:bCs/>
          <w:sz w:val="36"/>
          <w:szCs w:val="36"/>
          <w:rtl/>
          <w:lang w:bidi="ar-DZ"/>
        </w:rPr>
        <w:t>أزمة قراءة التراث اللغوي العربي</w:t>
      </w:r>
    </w:p>
    <w:p w14:paraId="52944094" w14:textId="6098C3C3" w:rsidR="007910C8" w:rsidRPr="007910C8" w:rsidRDefault="007910C8" w:rsidP="007910C8">
      <w:pPr>
        <w:bidi/>
        <w:ind w:left="360"/>
        <w:jc w:val="both"/>
        <w:rPr>
          <w:rFonts w:ascii="Sakkal Majalla" w:hAnsi="Sakkal Majalla" w:cs="Sakkal Majalla"/>
          <w:b/>
          <w:bCs/>
          <w:sz w:val="32"/>
          <w:szCs w:val="32"/>
          <w:rtl/>
        </w:rPr>
      </w:pPr>
      <w:r w:rsidRPr="007910C8">
        <w:rPr>
          <w:rFonts w:ascii="Sakkal Majalla" w:hAnsi="Sakkal Majalla" w:cs="Sakkal Majalla" w:hint="cs"/>
          <w:b/>
          <w:bCs/>
          <w:sz w:val="32"/>
          <w:szCs w:val="32"/>
          <w:rtl/>
        </w:rPr>
        <w:t>تمهيد</w:t>
      </w:r>
    </w:p>
    <w:p w14:paraId="37C023FE" w14:textId="07974DE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إنّ الثّورة التّي أحدثتها البنيوية مع ظهورها منهجاً في بدايات القرن العشرين فتحت المجال أمام الباحثين لمناقشة أفكارهم في ضوئها؛ إنْ قَبولاً أو رفضاً، مع إحكام الحجّة في حال الرّفض، وليس أدلَّ على ذلك من ظهور المناهج النّقدية الغربية بعد البنيوية، بل قل من صلب هذا المنهج، كالوظيفية مثلاً، ولم يكن الباحث العربي غريباً عن هذه الهموم، خاصّةً أولئك الذين عايشوها؛ ونقصد طبعاً الذين تلقّوا معارفهم هنالك وأرادوا ترجمتها للعربية.</w:t>
      </w:r>
    </w:p>
    <w:p w14:paraId="61319C9D"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وقد وجد الباحث العربي، إثر ذلك، نفسه مضطرّاً لترجمة هذه الأفكار وتقديم تلك الرّؤى بأسلوبٍ عربيٍّ حتّى يُمَكِّنَهُ ذلك من التّفاعل مع القارئ؛ لكن ما حملته جعبة هؤلاء لم تحقّق المقاصد، بل زادت الطّين بلّةً، وخلقت قطيعةً معرفيةً بين المتلقّي وأولئك الذي نقلوا المعارف، وإن كانا مشتركين في الإقرار بأنّ الأزمة واقعةٌ فعلاً. لكن فيم تتمثّل الأزمة فعلاً: هل في خصوصية المعارف في حدّ </w:t>
      </w:r>
      <w:proofErr w:type="gramStart"/>
      <w:r w:rsidRPr="00F00F4B">
        <w:rPr>
          <w:rFonts w:ascii="Sakkal Majalla" w:hAnsi="Sakkal Majalla" w:cs="Sakkal Majalla"/>
          <w:sz w:val="32"/>
          <w:szCs w:val="32"/>
          <w:rtl/>
        </w:rPr>
        <w:t>ذاتها ؟</w:t>
      </w:r>
      <w:proofErr w:type="gramEnd"/>
      <w:r w:rsidRPr="00F00F4B">
        <w:rPr>
          <w:rFonts w:ascii="Sakkal Majalla" w:hAnsi="Sakkal Majalla" w:cs="Sakkal Majalla"/>
          <w:sz w:val="32"/>
          <w:szCs w:val="32"/>
          <w:rtl/>
        </w:rPr>
        <w:t xml:space="preserve"> أم في الفشل الذّريع للنّاقد </w:t>
      </w:r>
      <w:proofErr w:type="gramStart"/>
      <w:r w:rsidRPr="00F00F4B">
        <w:rPr>
          <w:rFonts w:ascii="Sakkal Majalla" w:hAnsi="Sakkal Majalla" w:cs="Sakkal Majalla"/>
          <w:sz w:val="32"/>
          <w:szCs w:val="32"/>
          <w:rtl/>
        </w:rPr>
        <w:t>العربي ؟</w:t>
      </w:r>
      <w:proofErr w:type="gramEnd"/>
      <w:r w:rsidRPr="00F00F4B">
        <w:rPr>
          <w:rFonts w:ascii="Sakkal Majalla" w:hAnsi="Sakkal Majalla" w:cs="Sakkal Majalla"/>
          <w:sz w:val="32"/>
          <w:szCs w:val="32"/>
          <w:rtl/>
        </w:rPr>
        <w:t xml:space="preserve"> أم لعدم امتلاك القارئ الآليات اللاّزمة </w:t>
      </w:r>
      <w:proofErr w:type="gramStart"/>
      <w:r w:rsidRPr="00F00F4B">
        <w:rPr>
          <w:rFonts w:ascii="Sakkal Majalla" w:hAnsi="Sakkal Majalla" w:cs="Sakkal Majalla"/>
          <w:sz w:val="32"/>
          <w:szCs w:val="32"/>
          <w:rtl/>
        </w:rPr>
        <w:t>للقراءة ؟</w:t>
      </w:r>
      <w:proofErr w:type="gramEnd"/>
    </w:p>
    <w:p w14:paraId="7FC4CF2E" w14:textId="0F2D4E77" w:rsidR="00F00F4B" w:rsidRPr="007910C8" w:rsidRDefault="00F00F4B" w:rsidP="007910C8">
      <w:pPr>
        <w:bidi/>
        <w:jc w:val="both"/>
        <w:rPr>
          <w:rFonts w:ascii="Sakkal Majalla" w:hAnsi="Sakkal Majalla" w:cs="Sakkal Majalla"/>
          <w:sz w:val="32"/>
          <w:szCs w:val="32"/>
          <w:rtl/>
          <w:lang w:bidi="ar-DZ"/>
        </w:rPr>
      </w:pPr>
      <w:r w:rsidRPr="007910C8">
        <w:rPr>
          <w:rFonts w:ascii="Sakkal Majalla" w:hAnsi="Sakkal Majalla" w:cs="Sakkal Majalla"/>
          <w:noProof/>
        </w:rPr>
        <w:drawing>
          <wp:inline distT="0" distB="0" distL="0" distR="0" wp14:anchorId="5827DDA8" wp14:editId="79C615FC">
            <wp:extent cx="5760720" cy="3226435"/>
            <wp:effectExtent l="0" t="0" r="0" b="12065"/>
            <wp:docPr id="1272425679"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1D545CA" w14:textId="77777777" w:rsidR="00F00F4B" w:rsidRDefault="00F00F4B" w:rsidP="007910C8">
      <w:pPr>
        <w:bidi/>
        <w:jc w:val="both"/>
        <w:rPr>
          <w:rFonts w:ascii="Sakkal Majalla" w:hAnsi="Sakkal Majalla" w:cs="Sakkal Majalla"/>
          <w:sz w:val="32"/>
          <w:szCs w:val="32"/>
          <w:rtl/>
          <w:lang w:bidi="ar-DZ"/>
        </w:rPr>
      </w:pPr>
    </w:p>
    <w:p w14:paraId="2166463B" w14:textId="77777777" w:rsidR="007910C8" w:rsidRPr="007910C8" w:rsidRDefault="007910C8" w:rsidP="007910C8">
      <w:pPr>
        <w:bidi/>
        <w:jc w:val="both"/>
        <w:rPr>
          <w:rFonts w:ascii="Sakkal Majalla" w:hAnsi="Sakkal Majalla" w:cs="Sakkal Majalla"/>
          <w:sz w:val="32"/>
          <w:szCs w:val="32"/>
          <w:rtl/>
          <w:lang w:bidi="ar-DZ"/>
        </w:rPr>
      </w:pPr>
    </w:p>
    <w:p w14:paraId="6CD82DBE" w14:textId="23E7CEFC" w:rsidR="00F00F4B" w:rsidRPr="007910C8" w:rsidRDefault="00F00F4B" w:rsidP="007910C8">
      <w:pPr>
        <w:pStyle w:val="Paragraphedeliste"/>
        <w:numPr>
          <w:ilvl w:val="0"/>
          <w:numId w:val="2"/>
        </w:numPr>
        <w:bidi/>
        <w:jc w:val="both"/>
        <w:rPr>
          <w:rFonts w:ascii="Sakkal Majalla" w:hAnsi="Sakkal Majalla" w:cs="Sakkal Majalla"/>
          <w:b/>
          <w:bCs/>
          <w:sz w:val="36"/>
          <w:szCs w:val="36"/>
          <w:lang w:bidi="ar-DZ"/>
        </w:rPr>
      </w:pPr>
      <w:r w:rsidRPr="007910C8">
        <w:rPr>
          <w:rFonts w:ascii="Sakkal Majalla" w:hAnsi="Sakkal Majalla" w:cs="Sakkal Majalla"/>
          <w:b/>
          <w:bCs/>
          <w:sz w:val="36"/>
          <w:szCs w:val="36"/>
          <w:rtl/>
          <w:lang w:bidi="ar-DZ"/>
        </w:rPr>
        <w:lastRenderedPageBreak/>
        <w:t xml:space="preserve">تغييب التراث: </w:t>
      </w:r>
    </w:p>
    <w:p w14:paraId="01FB1BA5" w14:textId="6D3B0728" w:rsidR="00F00F4B" w:rsidRPr="007910C8" w:rsidRDefault="00F00F4B" w:rsidP="007910C8">
      <w:pPr>
        <w:bidi/>
        <w:ind w:left="360"/>
        <w:jc w:val="both"/>
        <w:rPr>
          <w:rFonts w:ascii="Sakkal Majalla" w:hAnsi="Sakkal Majalla" w:cs="Sakkal Majalla"/>
          <w:sz w:val="32"/>
          <w:szCs w:val="32"/>
          <w:rtl/>
        </w:rPr>
      </w:pPr>
      <w:r w:rsidRPr="007910C8">
        <w:rPr>
          <w:rFonts w:ascii="Sakkal Majalla" w:hAnsi="Sakkal Majalla" w:cs="Sakkal Majalla"/>
          <w:sz w:val="32"/>
          <w:szCs w:val="32"/>
          <w:rtl/>
        </w:rPr>
        <w:t xml:space="preserve">اختلف علماء العربية المحدثون في كيفية استنطاق التراث اللغوي العربي ـ فمنهم من قال بوجوب تغييب </w:t>
      </w:r>
      <w:proofErr w:type="gramStart"/>
      <w:r w:rsidRPr="007910C8">
        <w:rPr>
          <w:rFonts w:ascii="Sakkal Majalla" w:hAnsi="Sakkal Majalla" w:cs="Sakkal Majalla"/>
          <w:sz w:val="32"/>
          <w:szCs w:val="32"/>
          <w:rtl/>
        </w:rPr>
        <w:t>التراث ؛</w:t>
      </w:r>
      <w:proofErr w:type="gramEnd"/>
      <w:r w:rsidRPr="007910C8">
        <w:rPr>
          <w:rFonts w:ascii="Sakkal Majalla" w:hAnsi="Sakkal Majalla" w:cs="Sakkal Majalla"/>
          <w:sz w:val="32"/>
          <w:szCs w:val="32"/>
          <w:rtl/>
        </w:rPr>
        <w:t xml:space="preserve"> ذلك أنه نشأ في بيئة عربية خالصة اتصلت بمكونات ثقافية خاصة بها ، و عليه فلا يمكن قراءة التراث قراءة عصرية ، و إنما يمكن تلخيص ما جاء فيه مع بيان الملامح السياقية ، وعليه نادوا بضرورة اللجوء إلى النظريات اللسانية الغربية التي تساعد في فهم أحسن للأدوات اللسانية التي تساعدنا في فهم النصوص.</w:t>
      </w:r>
    </w:p>
    <w:p w14:paraId="6D0DB366"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ومن هنا  يجزم معظم الباحثين بأنّ الإشكالية هي إشكالية تغييب التّراث ومنه النّظرية النّقدية العربية، وهناك من يرى بأنّ الأزمة هي أزمة تأسيسٍ، يقول الباحث ( عبد العزيز حمودة ) : " نعم هناك أزمة نقل للمصطلح النّقدي، لكن أزمة المصطلح لم تكن أبداً أزمة مصطلح نقدي عربي، فالمصطلحات التّي أفرزتها الحداثة الغربية في تجلّياتها في المدارس النّقدية الحديثة من بنيوية وتفكيك تثير أزمةً عند قرّاء الحداثة الـغربية   ذاتها...» ، ثمّ يقول: "... فالمصطلح الحداثي الغربي الذي يستخدمه الحداثيون العرب يُعزل أوّلاً عن دلالاته المعرفية والثّقافية، وينقّى من شوائب واقعه ليتمّ استخدامه في الواقع العربي المختلف".</w:t>
      </w:r>
    </w:p>
    <w:p w14:paraId="4EE8EA13"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في حين يرى الباحث </w:t>
      </w:r>
      <w:proofErr w:type="gramStart"/>
      <w:r w:rsidRPr="00F00F4B">
        <w:rPr>
          <w:rFonts w:ascii="Sakkal Majalla" w:hAnsi="Sakkal Majalla" w:cs="Sakkal Majalla"/>
          <w:sz w:val="32"/>
          <w:szCs w:val="32"/>
          <w:rtl/>
        </w:rPr>
        <w:t>( منذر</w:t>
      </w:r>
      <w:proofErr w:type="gramEnd"/>
      <w:r w:rsidRPr="00F00F4B">
        <w:rPr>
          <w:rFonts w:ascii="Sakkal Majalla" w:hAnsi="Sakkal Majalla" w:cs="Sakkal Majalla"/>
          <w:sz w:val="32"/>
          <w:szCs w:val="32"/>
          <w:rtl/>
        </w:rPr>
        <w:t xml:space="preserve"> عياشي ) أن فهم النظريات اللسانية الغربية أو التراث اللغوي العربي محتاج إلى إجراء منهجي آخر وهو موقع الأمة من ثقافتها يقول موضحا حول مفهوم اللسانيات :" لا تزال اللّسانيات في العالم العربي ذلك المجهول الذي يثير فينا ريباً وشكّاً، وتوجّساً وخوفاً، أكثر ممّا يثير فينا نزعةً – ولو فضوليةً – لمعرفة موقعنا من واقع الثّقافة، والعلم، والمعرفة في العالم»</w:t>
      </w:r>
    </w:p>
    <w:p w14:paraId="5868C201"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وهنا يحيلنا الباحث على ضرورة قراءة المصطلح </w:t>
      </w:r>
      <w:proofErr w:type="spellStart"/>
      <w:r w:rsidRPr="00F00F4B">
        <w:rPr>
          <w:rFonts w:ascii="Sakkal Majalla" w:hAnsi="Sakkal Majalla" w:cs="Sakkal Majalla"/>
          <w:sz w:val="32"/>
          <w:szCs w:val="32"/>
          <w:rtl/>
        </w:rPr>
        <w:t>اللسني</w:t>
      </w:r>
      <w:proofErr w:type="spellEnd"/>
      <w:r w:rsidRPr="00F00F4B">
        <w:rPr>
          <w:rFonts w:ascii="Sakkal Majalla" w:hAnsi="Sakkal Majalla" w:cs="Sakkal Majalla"/>
          <w:sz w:val="32"/>
          <w:szCs w:val="32"/>
          <w:rtl/>
        </w:rPr>
        <w:t xml:space="preserve"> في بيئته المعرفية </w:t>
      </w:r>
      <w:proofErr w:type="gramStart"/>
      <w:r w:rsidRPr="00F00F4B">
        <w:rPr>
          <w:rFonts w:ascii="Sakkal Majalla" w:hAnsi="Sakkal Majalla" w:cs="Sakkal Majalla"/>
          <w:sz w:val="32"/>
          <w:szCs w:val="32"/>
          <w:rtl/>
        </w:rPr>
        <w:t>و الثقافية</w:t>
      </w:r>
      <w:proofErr w:type="gramEnd"/>
      <w:r w:rsidRPr="00F00F4B">
        <w:rPr>
          <w:rFonts w:ascii="Sakkal Majalla" w:hAnsi="Sakkal Majalla" w:cs="Sakkal Majalla"/>
          <w:sz w:val="32"/>
          <w:szCs w:val="32"/>
          <w:rtl/>
        </w:rPr>
        <w:t xml:space="preserve"> و ليس خارجها.</w:t>
      </w:r>
    </w:p>
    <w:p w14:paraId="164085CE"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يقول أحد الباحثين موضّحاً القضيّةَ:</w:t>
      </w:r>
      <w:r w:rsidRPr="00F00F4B">
        <w:rPr>
          <w:rFonts w:ascii="Sakkal Majalla" w:hAnsi="Sakkal Majalla" w:cs="Sakkal Majalla"/>
          <w:b/>
          <w:bCs/>
          <w:sz w:val="32"/>
          <w:szCs w:val="32"/>
          <w:rtl/>
        </w:rPr>
        <w:t xml:space="preserve">" </w:t>
      </w:r>
      <w:r w:rsidRPr="00F00F4B">
        <w:rPr>
          <w:rFonts w:ascii="Sakkal Majalla" w:hAnsi="Sakkal Majalla" w:cs="Sakkal Majalla"/>
          <w:sz w:val="32"/>
          <w:szCs w:val="32"/>
          <w:rtl/>
        </w:rPr>
        <w:t xml:space="preserve">لقد ظلّ الدّارسون في الحقل اللّغوي الحديث </w:t>
      </w:r>
      <w:r w:rsidRPr="00F00F4B">
        <w:rPr>
          <w:rFonts w:ascii="Sakkal Majalla" w:hAnsi="Sakkal Majalla" w:cs="Sakkal Majalla"/>
          <w:b/>
          <w:bCs/>
          <w:sz w:val="32"/>
          <w:szCs w:val="32"/>
          <w:u w:val="single"/>
          <w:rtl/>
        </w:rPr>
        <w:t>يرتوون</w:t>
      </w:r>
      <w:r w:rsidRPr="00F00F4B">
        <w:rPr>
          <w:rFonts w:ascii="Sakkal Majalla" w:hAnsi="Sakkal Majalla" w:cs="Sakkal Majalla"/>
          <w:sz w:val="32"/>
          <w:szCs w:val="32"/>
          <w:rtl/>
        </w:rPr>
        <w:t xml:space="preserve"> في توضيح المفاهيـم التــي </w:t>
      </w:r>
      <w:r w:rsidRPr="00F00F4B">
        <w:rPr>
          <w:rFonts w:ascii="Sakkal Majalla" w:hAnsi="Sakkal Majalla" w:cs="Sakkal Majalla"/>
          <w:b/>
          <w:bCs/>
          <w:sz w:val="32"/>
          <w:szCs w:val="32"/>
          <w:u w:val="single"/>
          <w:rtl/>
        </w:rPr>
        <w:t>دَرَّتْها اللّسانيات الحديثة من المصـطلحات التّراثية</w:t>
      </w:r>
      <w:r w:rsidRPr="00F00F4B">
        <w:rPr>
          <w:rFonts w:ascii="Sakkal Majalla" w:hAnsi="Sakkal Majalla" w:cs="Sakkal Majalla"/>
          <w:sz w:val="32"/>
          <w:szCs w:val="32"/>
          <w:rtl/>
        </w:rPr>
        <w:t xml:space="preserve">، ولكـن إذا ما حـاولنا إلقـاء نظرة دقـيقـةٍ وفاحصةٍ حول بعض المصطلحات، فإنّنا نلاحظ أنّ الكثير منها يكتنفه اللّبس وعدم الوضوح في المفهوم. إنّ هذا الغموض الذي يطبع بعض المصطلحات الأصلية المستعملة في الدّرس اللّساني الحديث أضحى يعيق التّفاهم بين المتعلّمين </w:t>
      </w:r>
      <w:proofErr w:type="gramStart"/>
      <w:r w:rsidRPr="00F00F4B">
        <w:rPr>
          <w:rFonts w:ascii="Sakkal Majalla" w:hAnsi="Sakkal Majalla" w:cs="Sakkal Majalla"/>
          <w:sz w:val="32"/>
          <w:szCs w:val="32"/>
          <w:rtl/>
        </w:rPr>
        <w:t>و الباحثين</w:t>
      </w:r>
      <w:proofErr w:type="gramEnd"/>
      <w:r w:rsidRPr="00F00F4B">
        <w:rPr>
          <w:rFonts w:ascii="Sakkal Majalla" w:hAnsi="Sakkal Majalla" w:cs="Sakkal Majalla"/>
          <w:sz w:val="32"/>
          <w:szCs w:val="32"/>
          <w:rtl/>
        </w:rPr>
        <w:t xml:space="preserve">... إنّ توظيف المصطلحات التّراثية </w:t>
      </w:r>
      <w:r w:rsidRPr="00F00F4B">
        <w:rPr>
          <w:rFonts w:ascii="Sakkal Majalla" w:hAnsi="Sakkal Majalla" w:cs="Sakkal Majalla"/>
          <w:b/>
          <w:bCs/>
          <w:sz w:val="32"/>
          <w:szCs w:val="32"/>
          <w:rtl/>
        </w:rPr>
        <w:t xml:space="preserve">بدون الأخذ بعين الاعتبار الأسسَ النّظريةَ التّي تقتضيها المصطلحية في جانبها </w:t>
      </w:r>
      <w:proofErr w:type="spellStart"/>
      <w:r w:rsidRPr="00F00F4B">
        <w:rPr>
          <w:rFonts w:ascii="Sakkal Majalla" w:hAnsi="Sakkal Majalla" w:cs="Sakkal Majalla"/>
          <w:b/>
          <w:bCs/>
          <w:sz w:val="32"/>
          <w:szCs w:val="32"/>
          <w:rtl/>
        </w:rPr>
        <w:t>المفهومي</w:t>
      </w:r>
      <w:proofErr w:type="spellEnd"/>
      <w:r w:rsidRPr="00F00F4B">
        <w:rPr>
          <w:rFonts w:ascii="Sakkal Majalla" w:hAnsi="Sakkal Majalla" w:cs="Sakkal Majalla"/>
          <w:sz w:val="32"/>
          <w:szCs w:val="32"/>
          <w:rtl/>
        </w:rPr>
        <w:t>... قد يؤدّي إلى التّعقيد وعدم الوضوح، و بالتّالي قد يولّد لدى المبتدئين نوعاً من النّفور ".</w:t>
      </w:r>
    </w:p>
    <w:p w14:paraId="4FCD246B" w14:textId="50C91203"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lastRenderedPageBreak/>
        <w:t xml:space="preserve">   وانطلاقاً ممّا سبق يتّضح لنا أنّ البحث في التّراث أخذ منحيين: المنحى الأوّل: يريد التّعريف بالتّراث من خلال تجميع النّصوص وتقديمها أو عرضها للقارئ، ولمّا كانت تفتقد المنهجية ظهر الاتّجاه الثّاني الذي لا يكتفي بالتّعريف بالتّراث فحسب، بل يحاول أن " يُعَصْرِنَ " – حسب رأي الباحث – التّراث ليتماشى ورؤيةَ المتلقّي لعالَمِه. بل إنّ هناك من يقرّ بوجود نوعين من قراءة التّراث، ومنهم الباحث " عبد </w:t>
      </w:r>
      <w:proofErr w:type="gramStart"/>
      <w:r w:rsidRPr="00F00F4B">
        <w:rPr>
          <w:rFonts w:ascii="Sakkal Majalla" w:hAnsi="Sakkal Majalla" w:cs="Sakkal Majalla"/>
          <w:sz w:val="32"/>
          <w:szCs w:val="32"/>
          <w:rtl/>
        </w:rPr>
        <w:t xml:space="preserve">السّلام  </w:t>
      </w:r>
      <w:proofErr w:type="spellStart"/>
      <w:r w:rsidRPr="00F00F4B">
        <w:rPr>
          <w:rFonts w:ascii="Sakkal Majalla" w:hAnsi="Sakkal Majalla" w:cs="Sakkal Majalla"/>
          <w:sz w:val="32"/>
          <w:szCs w:val="32"/>
          <w:rtl/>
        </w:rPr>
        <w:t>المسدّي</w:t>
      </w:r>
      <w:proofErr w:type="spellEnd"/>
      <w:proofErr w:type="gramEnd"/>
      <w:r w:rsidRPr="00F00F4B">
        <w:rPr>
          <w:rFonts w:ascii="Sakkal Majalla" w:hAnsi="Sakkal Majalla" w:cs="Sakkal Majalla"/>
          <w:sz w:val="32"/>
          <w:szCs w:val="32"/>
          <w:rtl/>
        </w:rPr>
        <w:t xml:space="preserve"> " الذّي يعتقد أنّ هناك وجهين أو نوعين في قراءة التّراث: " أوّلهما، مذهب القراءة المجرّدة التي تهدف إلى تسليط مقولات الفكر اللّساني المعاصر على التّراث اللّغوي القديم بغيةَ تقييمه بمنظور المتصوّرات الفعّالة... أمّا المذهب الثّاني فيتمثّل في محاولة عديد من اللّسانيين قراءة التّراث اللّغوي العربي بحثاً عن منطلق الحديث اللّساني المعاصر، و رجوعاً بالنّظرية إلى روّادها الحقيقيين قبل سوسير".</w:t>
      </w:r>
    </w:p>
    <w:p w14:paraId="39A5DFBA" w14:textId="3570A5E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إنّ هذا الموقف الأخير يكشف أنّ الحديث عن المنحى الأوّل، ليس هو المقصودَ لأنّه يعتمد العرض في التّعريف بالتّراث، أمّا المنحى الثّاني، والذّي يقصده هؤلاء؛ أي قراءة التّراث بغيةَ عَصْرَنَتِهِ، فقد قسّمه الباحث قسمين: الأوّل، إسقاط مقولات الفكر اللّساني المعاصر على التّراث اعتقاداً بأنّ الشّرعية هي للتّراث، والثّاني، يهدف من خلال قراءته للتّراث الوصولَ إلى محطّة الأمان في التّعامل مع البحث اللّساني المعاصر، وذلك لتأسيس شرعية هذا الأخير؛ أي العكس. ولذلك " يرى فريق المؤيّدين أنّه يجب إدماج التّراث في الـحياة العـربية فكـرياً وسياسياً واجتماعياً انطلاقاً من أنّ بناء مستقبلٍ عربيٍ أصيل لـه خصوصيته الذّاتية والموضوعية أمرٌ غيرُ واردٍ خارج نطاق التّراث... أمّا معارضو الـعودة للتّراث فيدعون إلى التّحرّر من تـبعية الماضي </w:t>
      </w:r>
      <w:proofErr w:type="gramStart"/>
      <w:r w:rsidRPr="00F00F4B">
        <w:rPr>
          <w:rFonts w:ascii="Sakkal Majalla" w:hAnsi="Sakkal Majalla" w:cs="Sakkal Majalla"/>
          <w:sz w:val="32"/>
          <w:szCs w:val="32"/>
          <w:rtl/>
        </w:rPr>
        <w:t>و روحه</w:t>
      </w:r>
      <w:proofErr w:type="gramEnd"/>
      <w:r w:rsidRPr="00F00F4B">
        <w:rPr>
          <w:rFonts w:ascii="Sakkal Majalla" w:hAnsi="Sakkal Majalla" w:cs="Sakkal Majalla"/>
          <w:sz w:val="32"/>
          <w:szCs w:val="32"/>
          <w:rtl/>
        </w:rPr>
        <w:t xml:space="preserve"> وما ورثناه عنه من قيم و أفكار حتّى نتمكّن من الإبداع خارج التّراث".</w:t>
      </w:r>
    </w:p>
    <w:p w14:paraId="13B216A1" w14:textId="2EBDCB9E" w:rsidR="00F00F4B" w:rsidRPr="007910C8" w:rsidRDefault="00F00F4B" w:rsidP="007910C8">
      <w:pPr>
        <w:pStyle w:val="Paragraphedeliste"/>
        <w:numPr>
          <w:ilvl w:val="0"/>
          <w:numId w:val="2"/>
        </w:numPr>
        <w:bidi/>
        <w:jc w:val="both"/>
        <w:rPr>
          <w:rFonts w:ascii="Sakkal Majalla" w:hAnsi="Sakkal Majalla" w:cs="Sakkal Majalla"/>
          <w:sz w:val="36"/>
          <w:szCs w:val="36"/>
          <w:lang w:bidi="ar-DZ"/>
        </w:rPr>
      </w:pPr>
      <w:r w:rsidRPr="007910C8">
        <w:rPr>
          <w:rFonts w:ascii="Sakkal Majalla" w:hAnsi="Sakkal Majalla" w:cs="Sakkal Majalla"/>
          <w:sz w:val="36"/>
          <w:szCs w:val="36"/>
          <w:rtl/>
          <w:lang w:bidi="ar-DZ"/>
        </w:rPr>
        <w:t xml:space="preserve">تغييب النظريات الغربية الحديثة </w:t>
      </w:r>
    </w:p>
    <w:p w14:paraId="2BF90E3B" w14:textId="77777777" w:rsidR="00F00F4B" w:rsidRPr="00F00F4B" w:rsidRDefault="00F00F4B" w:rsidP="007910C8">
      <w:pPr>
        <w:bidi/>
        <w:ind w:left="283"/>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أما الفئة الثانية فقد نادت بضرورة مقاطعة النظريات اللسانية </w:t>
      </w:r>
      <w:proofErr w:type="gramStart"/>
      <w:r w:rsidRPr="00F00F4B">
        <w:rPr>
          <w:rFonts w:ascii="Sakkal Majalla" w:hAnsi="Sakkal Majalla" w:cs="Sakkal Majalla"/>
          <w:sz w:val="32"/>
          <w:szCs w:val="32"/>
          <w:rtl/>
        </w:rPr>
        <w:t>الغربية ؛</w:t>
      </w:r>
      <w:proofErr w:type="gramEnd"/>
      <w:r w:rsidRPr="00F00F4B">
        <w:rPr>
          <w:rFonts w:ascii="Sakkal Majalla" w:hAnsi="Sakkal Majalla" w:cs="Sakkal Majalla"/>
          <w:sz w:val="32"/>
          <w:szCs w:val="32"/>
          <w:rtl/>
        </w:rPr>
        <w:t xml:space="preserve"> ذلك أنها نشأت في بيئة ثقافية مكوناتها المعرفية و </w:t>
      </w:r>
      <w:proofErr w:type="spellStart"/>
      <w:r w:rsidRPr="00F00F4B">
        <w:rPr>
          <w:rFonts w:ascii="Sakkal Majalla" w:hAnsi="Sakkal Majalla" w:cs="Sakkal Majalla"/>
          <w:sz w:val="32"/>
          <w:szCs w:val="32"/>
          <w:rtl/>
        </w:rPr>
        <w:t>الابستمولوجية</w:t>
      </w:r>
      <w:proofErr w:type="spellEnd"/>
      <w:r w:rsidRPr="00F00F4B">
        <w:rPr>
          <w:rFonts w:ascii="Sakkal Majalla" w:hAnsi="Sakkal Majalla" w:cs="Sakkal Majalla"/>
          <w:sz w:val="32"/>
          <w:szCs w:val="32"/>
          <w:rtl/>
        </w:rPr>
        <w:t xml:space="preserve"> مختلفة تماما عن البيئة الثقافية العربية الخالصة بجميع مكوناتها ، و لا يمكن إسقاط تلك المفاهيم عليها ، وحاولوا تقديم بدائل منهجية لقراءة التراث اللغوي العربي من بئته الخالصة و التي تتوافق وأجهزتنا المفهومية لتساعدنا في </w:t>
      </w:r>
      <w:proofErr w:type="spellStart"/>
      <w:r w:rsidRPr="00F00F4B">
        <w:rPr>
          <w:rFonts w:ascii="Sakkal Majalla" w:hAnsi="Sakkal Majalla" w:cs="Sakkal Majalla"/>
          <w:sz w:val="32"/>
          <w:szCs w:val="32"/>
          <w:rtl/>
        </w:rPr>
        <w:t>غهم</w:t>
      </w:r>
      <w:proofErr w:type="spellEnd"/>
      <w:r w:rsidRPr="00F00F4B">
        <w:rPr>
          <w:rFonts w:ascii="Sakkal Majalla" w:hAnsi="Sakkal Majalla" w:cs="Sakkal Majalla"/>
          <w:sz w:val="32"/>
          <w:szCs w:val="32"/>
          <w:rtl/>
        </w:rPr>
        <w:t xml:space="preserve"> المصطلح اللساني بأكثر دقة ، وهؤلاء هم الذين نادوا بضرورة إيجاد نظرية لسانية عربية خالصة مستخلصة من أدوات التفكير اللساني في الحضارة العربية. </w:t>
      </w:r>
    </w:p>
    <w:p w14:paraId="2945AF79" w14:textId="3F68FB17" w:rsidR="00F00F4B" w:rsidRPr="007910C8" w:rsidRDefault="00F00F4B" w:rsidP="007910C8">
      <w:pPr>
        <w:bidi/>
        <w:ind w:left="360"/>
        <w:jc w:val="both"/>
        <w:rPr>
          <w:rFonts w:ascii="Sakkal Majalla" w:hAnsi="Sakkal Majalla" w:cs="Sakkal Majalla"/>
          <w:sz w:val="32"/>
          <w:szCs w:val="32"/>
          <w:rtl/>
        </w:rPr>
      </w:pPr>
      <w:r w:rsidRPr="007910C8">
        <w:rPr>
          <w:rFonts w:ascii="Sakkal Majalla" w:hAnsi="Sakkal Majalla" w:cs="Sakkal Majalla"/>
          <w:sz w:val="32"/>
          <w:szCs w:val="32"/>
          <w:rtl/>
        </w:rPr>
        <w:t xml:space="preserve">يقول الباحث </w:t>
      </w:r>
      <w:proofErr w:type="gramStart"/>
      <w:r w:rsidRPr="007910C8">
        <w:rPr>
          <w:rFonts w:ascii="Sakkal Majalla" w:hAnsi="Sakkal Majalla" w:cs="Sakkal Majalla"/>
          <w:sz w:val="32"/>
          <w:szCs w:val="32"/>
          <w:rtl/>
        </w:rPr>
        <w:t>( عبد</w:t>
      </w:r>
      <w:proofErr w:type="gramEnd"/>
      <w:r w:rsidRPr="007910C8">
        <w:rPr>
          <w:rFonts w:ascii="Sakkal Majalla" w:hAnsi="Sakkal Majalla" w:cs="Sakkal Majalla"/>
          <w:sz w:val="32"/>
          <w:szCs w:val="32"/>
          <w:rtl/>
        </w:rPr>
        <w:t xml:space="preserve"> العزيز حمودة ) : " وإن كان تصوّر موقف الناّقد الحداثي العربي وحيرته في غيبة مذهبٍ نقديٍ عربيٍ يمكن أن يستخدم أدواتِه في تعامله مع النّصوص الإبداعية. فهو يعيش حالة </w:t>
      </w:r>
      <w:r w:rsidRPr="007910C8">
        <w:rPr>
          <w:rFonts w:ascii="Sakkal Majalla" w:hAnsi="Sakkal Majalla" w:cs="Sakkal Majalla"/>
          <w:b/>
          <w:bCs/>
          <w:sz w:val="32"/>
          <w:szCs w:val="32"/>
          <w:rtl/>
        </w:rPr>
        <w:t xml:space="preserve">فراغٍ </w:t>
      </w:r>
      <w:r w:rsidRPr="007910C8">
        <w:rPr>
          <w:rFonts w:ascii="Sakkal Majalla" w:hAnsi="Sakkal Majalla" w:cs="Sakkal Majalla"/>
          <w:b/>
          <w:bCs/>
          <w:sz w:val="32"/>
          <w:szCs w:val="32"/>
          <w:rtl/>
        </w:rPr>
        <w:lastRenderedPageBreak/>
        <w:t xml:space="preserve">خلقته القطيعة المعرفية الكاملة مع التّراث... «. و يردف </w:t>
      </w:r>
      <w:proofErr w:type="gramStart"/>
      <w:r w:rsidRPr="007910C8">
        <w:rPr>
          <w:rFonts w:ascii="Sakkal Majalla" w:hAnsi="Sakkal Majalla" w:cs="Sakkal Majalla"/>
          <w:b/>
          <w:bCs/>
          <w:sz w:val="32"/>
          <w:szCs w:val="32"/>
          <w:rtl/>
        </w:rPr>
        <w:t>موضحا :</w:t>
      </w:r>
      <w:proofErr w:type="gramEnd"/>
      <w:r w:rsidRPr="007910C8">
        <w:rPr>
          <w:rFonts w:ascii="Sakkal Majalla" w:hAnsi="Sakkal Majalla" w:cs="Sakkal Majalla"/>
          <w:b/>
          <w:bCs/>
          <w:sz w:val="32"/>
          <w:szCs w:val="32"/>
          <w:rtl/>
        </w:rPr>
        <w:t xml:space="preserve"> </w:t>
      </w:r>
      <w:r w:rsidRPr="007910C8">
        <w:rPr>
          <w:rFonts w:ascii="Sakkal Majalla" w:hAnsi="Sakkal Majalla" w:cs="Sakkal Majalla"/>
          <w:sz w:val="32"/>
          <w:szCs w:val="32"/>
          <w:rtl/>
        </w:rPr>
        <w:t>"</w:t>
      </w:r>
      <w:r w:rsidRPr="007910C8">
        <w:rPr>
          <w:rFonts w:ascii="Sakkal Majalla" w:hAnsi="Sakkal Majalla" w:cs="Sakkal Majalla"/>
          <w:b/>
          <w:bCs/>
          <w:sz w:val="32"/>
          <w:szCs w:val="32"/>
          <w:rtl/>
        </w:rPr>
        <w:t xml:space="preserve"> </w:t>
      </w:r>
      <w:r w:rsidRPr="007910C8">
        <w:rPr>
          <w:rFonts w:ascii="Sakkal Majalla" w:hAnsi="Sakkal Majalla" w:cs="Sakkal Majalla"/>
          <w:sz w:val="32"/>
          <w:szCs w:val="32"/>
          <w:rtl/>
        </w:rPr>
        <w:t xml:space="preserve">لقد كان الاختيار خاطئاً منذ البداية، فقد كان هناك الاختلاف الواضح بين </w:t>
      </w:r>
      <w:r w:rsidRPr="007910C8">
        <w:rPr>
          <w:rFonts w:ascii="Sakkal Majalla" w:hAnsi="Sakkal Majalla" w:cs="Sakkal Majalla"/>
          <w:b/>
          <w:bCs/>
          <w:sz w:val="32"/>
          <w:szCs w:val="32"/>
          <w:rtl/>
        </w:rPr>
        <w:t xml:space="preserve">المناخ الفكري و الاجتماعي الذي أفرز الحداثة الغربية والمناخ الفكري و الاجتماعي للواقع العربي... </w:t>
      </w:r>
      <w:r w:rsidRPr="007910C8">
        <w:rPr>
          <w:rFonts w:ascii="Sakkal Majalla" w:hAnsi="Sakkal Majalla" w:cs="Sakkal Majalla"/>
          <w:sz w:val="32"/>
          <w:szCs w:val="32"/>
          <w:rtl/>
        </w:rPr>
        <w:t xml:space="preserve">".يقول: "... إنّ الأزمة ليست... أزمة مصطلح و ترجمته و نقله إلى العربية، بل </w:t>
      </w:r>
      <w:r w:rsidRPr="007910C8">
        <w:rPr>
          <w:rFonts w:ascii="Sakkal Majalla" w:hAnsi="Sakkal Majalla" w:cs="Sakkal Majalla"/>
          <w:b/>
          <w:bCs/>
          <w:sz w:val="32"/>
          <w:szCs w:val="32"/>
          <w:rtl/>
        </w:rPr>
        <w:t xml:space="preserve">أزمة الثّقافة – الثّقافات التّي أفرزت ذلك المصطلح، أزمة اختلاف حضاري وثقافي بالدّرجة الأولى </w:t>
      </w:r>
      <w:r w:rsidRPr="007910C8">
        <w:rPr>
          <w:rFonts w:ascii="Sakkal Majalla" w:hAnsi="Sakkal Majalla" w:cs="Sakkal Majalla"/>
          <w:sz w:val="32"/>
          <w:szCs w:val="32"/>
          <w:rtl/>
        </w:rPr>
        <w:t>".</w:t>
      </w:r>
    </w:p>
    <w:p w14:paraId="778957C3"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ولا يقف عند هذا الحدّ في ادّعاءاته، بل يكشف عن أمرٍ مهمٍّ – حسب اعتقاده – هو أنّ القراءة التّي قام بها الحداثيون مبنيةٌ على هدفٍ أضحى يميت التّراث؛ </w:t>
      </w:r>
      <w:r w:rsidRPr="00F00F4B">
        <w:rPr>
          <w:rFonts w:ascii="Sakkal Majalla" w:hAnsi="Sakkal Majalla" w:cs="Sakkal Majalla"/>
          <w:b/>
          <w:bCs/>
          <w:sz w:val="32"/>
          <w:szCs w:val="32"/>
          <w:rtl/>
        </w:rPr>
        <w:t>وهو تأسيس شرعية الحاضر في ضوء التّراث</w:t>
      </w:r>
      <w:r w:rsidRPr="00F00F4B">
        <w:rPr>
          <w:rFonts w:ascii="Sakkal Majalla" w:hAnsi="Sakkal Majalla" w:cs="Sakkal Majalla"/>
          <w:sz w:val="32"/>
          <w:szCs w:val="32"/>
          <w:rtl/>
        </w:rPr>
        <w:t xml:space="preserve">، فهو في أحيان أخرى يُفاجأُ بقراءة التّراث لتعزيز وجهة نظرٍ حداثيةٍ محدودةٍ ، ثم يقدم لنا البديل : " في ضوء ذلك الجدل الذي كان محتدماً في عصر الجاحظ، وجد البيانيون العرب أنفسهم يتحرّكون في اتّجاه الصّياغة وليس المعاني التّي سبقهم إليها الأوّلون... </w:t>
      </w:r>
      <w:r w:rsidRPr="00F00F4B">
        <w:rPr>
          <w:rFonts w:ascii="Sakkal Majalla" w:hAnsi="Sakkal Majalla" w:cs="Sakkal Majalla"/>
          <w:b/>
          <w:bCs/>
          <w:sz w:val="32"/>
          <w:szCs w:val="32"/>
          <w:rtl/>
        </w:rPr>
        <w:t>والجاحظ هنا لا يختلف في موقفه كثيراً عن موقف الشّكلية الرّوسية أو النّقد الجديد... «</w:t>
      </w:r>
    </w:p>
    <w:p w14:paraId="6AF8BB3E"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ويقول في موضعٍ آخر مبيّناً جهود الإمام الجرجاني: " كلاّ إنّ نظرية النّظم كما قرّرها عبد القاهر الجرجاني قد فُكّر فيها داخل الحقل المعرفي البياني... أمّا المنطق اليوناني فلم يكن له أثرٌ في هذه النّظرية.... ".</w:t>
      </w:r>
    </w:p>
    <w:p w14:paraId="093DAA7D"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وهذه النّصوص تثبت بشكلٍ أو بآخر التّناقض بين المقدّمات والنّتائج كما يقول هو، فمن خلال النّموذجين الذين رأيتهما مناسبين لإماطة اللّثام عن هذا التّناقض، نلاحظ بشكلٍ جليٍّ أنّ الباحث لم يتخلّص في مشاريعه كغيره من الباحثين الذين سبقوه من حكر النّظريات الغربية، فهو في موقفٍ سابقٍ له أقرّ بعدم استغلال التّراث لتأسيس شرعية الحاضر، ثمّ في مشروعه الأخير يرفض نهائياً هذه النّظريات، لكنّ مواقفه السّابقة مع الجاحظ أو الجرجاني تثبت أنّه يقرّ بشرعية النّظريات الغربية، بل يعود ويستغلّ بدوره التّراث لقراءة النّظريات الغربية، وذلك حين يقرّ أنّ الجاحظ مثلاً في منحاه اللّفظي يشبه الشّكلية الرّوسية، وفي موقفٍ سابقٍ يقرّ بأنّ المباحث البلاغية ابتداءً من الجاحظ لم يترك فيها شيئاً ممّا ذكره سوسير، فبأيّ نظرةٍ سيأخذ القارئ، هل سيعيد النّظر أوّلاً في الفرق الجوهري بين مدرسة سوسير والمدرسة الشّكلية ؟</w:t>
      </w:r>
    </w:p>
    <w:p w14:paraId="7D246FF1"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ومن هؤلاء </w:t>
      </w:r>
      <w:proofErr w:type="gramStart"/>
      <w:r w:rsidRPr="00F00F4B">
        <w:rPr>
          <w:rFonts w:ascii="Sakkal Majalla" w:hAnsi="Sakkal Majalla" w:cs="Sakkal Majalla"/>
          <w:sz w:val="32"/>
          <w:szCs w:val="32"/>
          <w:rtl/>
        </w:rPr>
        <w:t>أيضا ،</w:t>
      </w:r>
      <w:proofErr w:type="gramEnd"/>
      <w:r w:rsidRPr="00F00F4B">
        <w:rPr>
          <w:rFonts w:ascii="Sakkal Majalla" w:hAnsi="Sakkal Majalla" w:cs="Sakkal Majalla"/>
          <w:sz w:val="32"/>
          <w:szCs w:val="32"/>
          <w:rtl/>
        </w:rPr>
        <w:t xml:space="preserve"> الباحث" محمّد العيد رتيمة " حين يؤكّد في بداية بحثه أنّ: " الكثير من الباحثين العرب المحدثين خاصّة من عاد من الوافدين من البعثات العلمية للغرب، راحوا وبشكل أخصّ مَنْ وَقَعَ منهم عن وعيٍ وغير وعيٍ تحت </w:t>
      </w:r>
      <w:r w:rsidRPr="00F00F4B">
        <w:rPr>
          <w:rFonts w:ascii="Sakkal Majalla" w:hAnsi="Sakkal Majalla" w:cs="Sakkal Majalla"/>
          <w:b/>
          <w:bCs/>
          <w:sz w:val="32"/>
          <w:szCs w:val="32"/>
          <w:rtl/>
        </w:rPr>
        <w:t>خدر</w:t>
      </w:r>
      <w:r w:rsidRPr="00F00F4B">
        <w:rPr>
          <w:rFonts w:ascii="Sakkal Majalla" w:hAnsi="Sakkal Majalla" w:cs="Sakkal Majalla"/>
          <w:sz w:val="32"/>
          <w:szCs w:val="32"/>
          <w:rtl/>
        </w:rPr>
        <w:t xml:space="preserve"> تلك النّظريات الغربية يطبّق تلك المناهج حرفياً على اللّغة العربية دون اهتمام بخصائصها </w:t>
      </w:r>
      <w:proofErr w:type="spellStart"/>
      <w:r w:rsidRPr="00F00F4B">
        <w:rPr>
          <w:rFonts w:ascii="Sakkal Majalla" w:hAnsi="Sakkal Majalla" w:cs="Sakkal Majalla"/>
          <w:sz w:val="32"/>
          <w:szCs w:val="32"/>
          <w:rtl/>
        </w:rPr>
        <w:t>البِنَوِيَة</w:t>
      </w:r>
      <w:proofErr w:type="spellEnd"/>
      <w:r w:rsidRPr="00F00F4B">
        <w:rPr>
          <w:rFonts w:ascii="Sakkal Majalla" w:hAnsi="Sakkal Majalla" w:cs="Sakkal Majalla"/>
          <w:sz w:val="32"/>
          <w:szCs w:val="32"/>
          <w:rtl/>
        </w:rPr>
        <w:t xml:space="preserve"> الوظيفية المميّزة... ". وحين ينهي هذه الفروق، يقرّر عدم صلاحية هذه </w:t>
      </w:r>
      <w:r w:rsidRPr="00F00F4B">
        <w:rPr>
          <w:rFonts w:ascii="Sakkal Majalla" w:hAnsi="Sakkal Majalla" w:cs="Sakkal Majalla"/>
          <w:sz w:val="32"/>
          <w:szCs w:val="32"/>
          <w:rtl/>
        </w:rPr>
        <w:lastRenderedPageBreak/>
        <w:t xml:space="preserve">النّظريات الغربية على اللّغة العربية، يقول: " انطلاقاً من الفروق السّابقة نجزم بعدم صلاحية تطبيق النّظريات اللّسانية الغربية ومناهجها تطبيقاً حرفيا في ميدان الدّرس اللّغوي والنّقد الأدبي في العربية، كما نجزم بعدم عالميتها... ولو نظروا – أي القائلون بأحقيّة هذه النّظريات – نظرةً علميةً موضوعيةً لوجدوا في تراث العربية اللّساني أحكاماً تعمّم على اللّغات الإنسانية أكثر عالميةً من النّظريات الغربية... ". ثمّ يقدّم – تأسيساً على ما سبق – المنهج البديل الملائم لدراسة اللّغة العربية، يقول مفسّراً: " </w:t>
      </w:r>
      <w:proofErr w:type="spellStart"/>
      <w:r w:rsidRPr="00F00F4B">
        <w:rPr>
          <w:rFonts w:ascii="Sakkal Majalla" w:hAnsi="Sakkal Majalla" w:cs="Sakkal Majalla"/>
          <w:sz w:val="32"/>
          <w:szCs w:val="32"/>
          <w:rtl/>
        </w:rPr>
        <w:t>البنوية</w:t>
      </w:r>
      <w:proofErr w:type="spellEnd"/>
      <w:r w:rsidRPr="00F00F4B">
        <w:rPr>
          <w:rFonts w:ascii="Sakkal Majalla" w:hAnsi="Sakkal Majalla" w:cs="Sakkal Majalla"/>
          <w:sz w:val="32"/>
          <w:szCs w:val="32"/>
          <w:rtl/>
        </w:rPr>
        <w:t xml:space="preserve"> الوظيفية هي منهجٌ في الدّراسة اللّغوية وصفي وظيفي، هو منهج وصفي لأنّه يصف البنية اللّغوية، وهو منهج وظيفي في الوقت نفسِه لأنّه يبيّن الوظيفة التّي تؤدّيها البنية اللّغوية... ".</w:t>
      </w:r>
    </w:p>
    <w:p w14:paraId="4CB5E638"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وهنا يتوقّف القارئ متأمّلاً، خاصّة وأنّه يعلم يقيناً أنّ الآراء السّابقة كانت تقرّ بأنّ كلّ رؤيةٍ تنبني على خلفيةٍ حضاريةٍ بالدّرجة الأولى، واجتماعيةٍ و ثقافيةٍ و تاريخيةٍ بالدّرجة الثّانية، فهل يكفي انطلاقاً ممّا سبق أن نعرف المنهج من خلال المفهوم اللّغوي </w:t>
      </w:r>
      <w:proofErr w:type="gramStart"/>
      <w:r w:rsidRPr="00F00F4B">
        <w:rPr>
          <w:rFonts w:ascii="Sakkal Majalla" w:hAnsi="Sakkal Majalla" w:cs="Sakkal Majalla"/>
          <w:sz w:val="32"/>
          <w:szCs w:val="32"/>
          <w:rtl/>
        </w:rPr>
        <w:t>فقط ؟</w:t>
      </w:r>
      <w:proofErr w:type="gramEnd"/>
      <w:r w:rsidRPr="00F00F4B">
        <w:rPr>
          <w:rFonts w:ascii="Sakkal Majalla" w:hAnsi="Sakkal Majalla" w:cs="Sakkal Majalla"/>
          <w:sz w:val="32"/>
          <w:szCs w:val="32"/>
          <w:rtl/>
        </w:rPr>
        <w:t xml:space="preserve"> وهل كان المنهج الذّي سار عليه علماء العربية معرفياً أم اكتفوا بالمقولة اللّغوية، فإذا سلّمنا بالأمر الأخير، فكيف نفسّر الحضارة التي وصل إليها العرب، وبالتّالي كيف نفسّر المنهج في ضوء هذه الحضارة.</w:t>
      </w:r>
    </w:p>
    <w:p w14:paraId="794DD519"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ثمّ إنّ الباحث لم يتخلّص أيضاً من التّأكيد على شرعية النّظرية، إذ كيف نفسّر لجوء الباحث إلى التّعريف بالمنهج من خلال مصطلحين هما: </w:t>
      </w:r>
      <w:proofErr w:type="spellStart"/>
      <w:r w:rsidRPr="00F00F4B">
        <w:rPr>
          <w:rFonts w:ascii="Sakkal Majalla" w:hAnsi="Sakkal Majalla" w:cs="Sakkal Majalla"/>
          <w:sz w:val="32"/>
          <w:szCs w:val="32"/>
          <w:rtl/>
        </w:rPr>
        <w:t>البنوية</w:t>
      </w:r>
      <w:proofErr w:type="spellEnd"/>
      <w:r w:rsidRPr="00F00F4B">
        <w:rPr>
          <w:rFonts w:ascii="Sakkal Majalla" w:hAnsi="Sakkal Majalla" w:cs="Sakkal Majalla"/>
          <w:sz w:val="32"/>
          <w:szCs w:val="32"/>
          <w:rtl/>
        </w:rPr>
        <w:t xml:space="preserve">، الوظيفية، فهل لهما سندٌ في </w:t>
      </w:r>
      <w:proofErr w:type="gramStart"/>
      <w:r w:rsidRPr="00F00F4B">
        <w:rPr>
          <w:rFonts w:ascii="Sakkal Majalla" w:hAnsi="Sakkal Majalla" w:cs="Sakkal Majalla"/>
          <w:sz w:val="32"/>
          <w:szCs w:val="32"/>
          <w:rtl/>
        </w:rPr>
        <w:t>التّراث ؟</w:t>
      </w:r>
      <w:proofErr w:type="gramEnd"/>
      <w:r w:rsidRPr="00F00F4B">
        <w:rPr>
          <w:rFonts w:ascii="Sakkal Majalla" w:hAnsi="Sakkal Majalla" w:cs="Sakkal Majalla"/>
          <w:sz w:val="32"/>
          <w:szCs w:val="32"/>
          <w:rtl/>
        </w:rPr>
        <w:t xml:space="preserve"> وإنّ النّقد الذّي وجّهه لسوسير بأنّه بنيوي بحتٌ قد وقع الباحث نفسُه فيه، ففي مقال آخر لـه يقرّ بذلك حين يعرّف النصّ قائلاً: " إنّ النصّ الأدبي ما هو إلاّ </w:t>
      </w:r>
      <w:r w:rsidRPr="00F00F4B">
        <w:rPr>
          <w:rFonts w:ascii="Sakkal Majalla" w:hAnsi="Sakkal Majalla" w:cs="Sakkal Majalla"/>
          <w:b/>
          <w:bCs/>
          <w:sz w:val="32"/>
          <w:szCs w:val="32"/>
          <w:rtl/>
        </w:rPr>
        <w:t>بنية لغوية</w:t>
      </w:r>
      <w:r w:rsidRPr="00F00F4B">
        <w:rPr>
          <w:rFonts w:ascii="Sakkal Majalla" w:hAnsi="Sakkal Majalla" w:cs="Sakkal Majalla"/>
          <w:sz w:val="32"/>
          <w:szCs w:val="32"/>
          <w:rtl/>
        </w:rPr>
        <w:t xml:space="preserve"> ذات دلالات تحملها تراكيب، والبحث في أحدهما بحث في الآخر بالضّرورة الحتمية، وقد ترابطا </w:t>
      </w:r>
      <w:proofErr w:type="spellStart"/>
      <w:r w:rsidRPr="00F00F4B">
        <w:rPr>
          <w:rFonts w:ascii="Sakkal Majalla" w:hAnsi="Sakkal Majalla" w:cs="Sakkal Majalla"/>
          <w:sz w:val="32"/>
          <w:szCs w:val="32"/>
          <w:rtl/>
        </w:rPr>
        <w:t>ترابطاً</w:t>
      </w:r>
      <w:proofErr w:type="spellEnd"/>
      <w:r w:rsidRPr="00F00F4B">
        <w:rPr>
          <w:rFonts w:ascii="Sakkal Majalla" w:hAnsi="Sakkal Majalla" w:cs="Sakkal Majalla"/>
          <w:sz w:val="32"/>
          <w:szCs w:val="32"/>
          <w:rtl/>
        </w:rPr>
        <w:t xml:space="preserve"> </w:t>
      </w:r>
      <w:proofErr w:type="spellStart"/>
      <w:r w:rsidRPr="00F00F4B">
        <w:rPr>
          <w:rFonts w:ascii="Sakkal Majalla" w:hAnsi="Sakkal Majalla" w:cs="Sakkal Majalla"/>
          <w:sz w:val="32"/>
          <w:szCs w:val="32"/>
          <w:rtl/>
        </w:rPr>
        <w:t>التحامياً</w:t>
      </w:r>
      <w:proofErr w:type="spellEnd"/>
      <w:r w:rsidRPr="00F00F4B">
        <w:rPr>
          <w:rFonts w:ascii="Sakkal Majalla" w:hAnsi="Sakkal Majalla" w:cs="Sakkal Majalla"/>
          <w:sz w:val="32"/>
          <w:szCs w:val="32"/>
          <w:rtl/>
        </w:rPr>
        <w:t xml:space="preserve"> وثيقاً منذ القدم في اللّغة العربية، فكان بذلك ولذلك التّشكيل اللّغوي للبنية النصيّة </w:t>
      </w:r>
      <w:r w:rsidRPr="00F00F4B">
        <w:rPr>
          <w:rFonts w:ascii="Sakkal Majalla" w:hAnsi="Sakkal Majalla" w:cs="Sakkal Majalla"/>
          <w:b/>
          <w:bCs/>
          <w:sz w:val="32"/>
          <w:szCs w:val="32"/>
          <w:rtl/>
        </w:rPr>
        <w:t>أساس</w:t>
      </w:r>
      <w:r w:rsidRPr="00F00F4B">
        <w:rPr>
          <w:rFonts w:ascii="Sakkal Majalla" w:hAnsi="Sakkal Majalla" w:cs="Sakkal Majalla"/>
          <w:sz w:val="32"/>
          <w:szCs w:val="32"/>
          <w:rtl/>
        </w:rPr>
        <w:t xml:space="preserve"> كلّ تحليل وغايتَه... ".</w:t>
      </w:r>
    </w:p>
    <w:p w14:paraId="30B86476"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وهناك موقفٌ آخر يحاول أن يؤكّد أنّ التّراث قد قدّم بعض أدوات المناهج الحديثة، ومنه المنهج الوصفي، وهذا الموقف هو للباحث " تمّام حسّان " يقول فيه موضّحاً: " ونهج النّحاة العرب منهج الوصفية التّي </w:t>
      </w:r>
      <w:r w:rsidRPr="00F00F4B">
        <w:rPr>
          <w:rFonts w:ascii="Sakkal Majalla" w:hAnsi="Sakkal Majalla" w:cs="Sakkal Majalla"/>
          <w:b/>
          <w:bCs/>
          <w:sz w:val="32"/>
          <w:szCs w:val="32"/>
          <w:rtl/>
        </w:rPr>
        <w:t>يباهي</w:t>
      </w:r>
      <w:r w:rsidRPr="00F00F4B">
        <w:rPr>
          <w:rFonts w:ascii="Sakkal Majalla" w:hAnsi="Sakkal Majalla" w:cs="Sakkal Majalla"/>
          <w:sz w:val="32"/>
          <w:szCs w:val="32"/>
          <w:rtl/>
        </w:rPr>
        <w:t xml:space="preserve"> بها المحدثون. وأوضحُ ما يكون ذلك في نشاط النّحاة الأوّلين الذّين كان يغلب على ألسنتهم أن يقـولوا: ((العـرب تقول كذا))، بدلاً من قول الآخرين يجب ويجوز ".</w:t>
      </w:r>
    </w:p>
    <w:p w14:paraId="2CF2E314" w14:textId="77777777" w:rsidR="00F00F4B" w:rsidRPr="00F00F4B" w:rsidRDefault="00F00F4B" w:rsidP="007910C8">
      <w:pPr>
        <w:bidi/>
        <w:ind w:left="360"/>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ويضيف موضّحاً موقفه من التّوليدية التّحولية: " غير أنّ تشومسكي يُباهي – كما سبق – بأنّه حوّل البحث اللّغوي من منهجٍ وصفيٍ تصنيفيٍ خالصٍ، يرد عليه اللّبس في الكثير من الحالات، إلى نحوٍ توليديٍ تحويليٍ، يضمّ إلى التّصنيف عنصراً آخر هو الطّاقة التّفسيرية، بمعنى أنّ البنية السّطحية (المستعملة) إذا تطرّق إليها اللّبس بتعدّد ما يحتمل أن يكون مقصوداً بها فإنّ النّحو التّوليدي يرجع هذه البنية </w:t>
      </w:r>
      <w:r w:rsidRPr="00F00F4B">
        <w:rPr>
          <w:rFonts w:ascii="Sakkal Majalla" w:hAnsi="Sakkal Majalla" w:cs="Sakkal Majalla"/>
          <w:sz w:val="32"/>
          <w:szCs w:val="32"/>
          <w:rtl/>
        </w:rPr>
        <w:lastRenderedPageBreak/>
        <w:t xml:space="preserve">الاستعمالية السّطحية إلى بنية عميقة بعينها فيذهب عنها بقيّة ما تحتمله من المعاني. </w:t>
      </w:r>
      <w:r w:rsidRPr="00F00F4B">
        <w:rPr>
          <w:rFonts w:ascii="Sakkal Majalla" w:hAnsi="Sakkal Majalla" w:cs="Sakkal Majalla"/>
          <w:b/>
          <w:bCs/>
          <w:sz w:val="32"/>
          <w:szCs w:val="32"/>
          <w:rtl/>
        </w:rPr>
        <w:t>هذه الخاصّية بعينها موجودة في النّحو العربي، ولكنّها ترتدي عباءة التّأويل وعمامة التّقدير</w:t>
      </w:r>
      <w:r w:rsidRPr="00F00F4B">
        <w:rPr>
          <w:rFonts w:ascii="Sakkal Majalla" w:hAnsi="Sakkal Majalla" w:cs="Sakkal Majalla"/>
          <w:sz w:val="32"/>
          <w:szCs w:val="32"/>
          <w:rtl/>
        </w:rPr>
        <w:t xml:space="preserve"> ".</w:t>
      </w:r>
    </w:p>
    <w:p w14:paraId="74B27611" w14:textId="55776351" w:rsidR="00F00F4B" w:rsidRPr="007910C8" w:rsidRDefault="00F00F4B" w:rsidP="007910C8">
      <w:pPr>
        <w:pStyle w:val="Paragraphedeliste"/>
        <w:numPr>
          <w:ilvl w:val="0"/>
          <w:numId w:val="3"/>
        </w:numPr>
        <w:bidi/>
        <w:jc w:val="both"/>
        <w:rPr>
          <w:rFonts w:ascii="Sakkal Majalla" w:hAnsi="Sakkal Majalla" w:cs="Sakkal Majalla"/>
          <w:b/>
          <w:bCs/>
          <w:sz w:val="36"/>
          <w:szCs w:val="36"/>
          <w:lang w:bidi="ar-DZ"/>
        </w:rPr>
      </w:pPr>
      <w:r w:rsidRPr="007910C8">
        <w:rPr>
          <w:rFonts w:ascii="Sakkal Majalla" w:hAnsi="Sakkal Majalla" w:cs="Sakkal Majalla"/>
          <w:b/>
          <w:bCs/>
          <w:sz w:val="36"/>
          <w:szCs w:val="36"/>
          <w:rtl/>
          <w:lang w:bidi="ar-DZ"/>
        </w:rPr>
        <w:t xml:space="preserve">تحيين التراث </w:t>
      </w:r>
    </w:p>
    <w:p w14:paraId="5FE207BD" w14:textId="77777777" w:rsidR="00F00F4B" w:rsidRPr="00F00F4B" w:rsidRDefault="00F00F4B" w:rsidP="007910C8">
      <w:pPr>
        <w:bidi/>
        <w:ind w:firstLine="283"/>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أما الفئة الثالثة فهي التي انتقدت المنادين بمقاطعة النظريات اللسانية الغربية ، أو المنادين بمقاطعة التراث ، ودعت إلى المزج بينهما ومحاولة غربلة المفاهيم في إطارها المعرفي و الثقافي ، يقول البحث حمادي صمود موضحا هذه الفكرة : " ولم تغبْ عنّا، طيلة هذا العمل، الصّعوباتُ، بل المخاطرُ الحافّة بهذا التوجّه لأنّ كلّ عملٍ، من هذا القبيل، مهدّد بالوقوع في ضربٍ من (الاستيلاب) الثّقافي و(السّلفية) الفكرية الجديدة إن لم نُوَفَّقْ إلى استخدام </w:t>
      </w:r>
      <w:r w:rsidRPr="00F00F4B">
        <w:rPr>
          <w:rFonts w:ascii="Sakkal Majalla" w:hAnsi="Sakkal Majalla" w:cs="Sakkal Majalla"/>
          <w:b/>
          <w:bCs/>
          <w:sz w:val="32"/>
          <w:szCs w:val="32"/>
          <w:rtl/>
        </w:rPr>
        <w:t>أجهزتنا المفهومية</w:t>
      </w:r>
      <w:r w:rsidRPr="00F00F4B">
        <w:rPr>
          <w:rFonts w:ascii="Sakkal Majalla" w:hAnsi="Sakkal Majalla" w:cs="Sakkal Majalla"/>
          <w:sz w:val="32"/>
          <w:szCs w:val="32"/>
          <w:rtl/>
        </w:rPr>
        <w:t xml:space="preserve"> استخداماً يحترم خصائص التّراث و السّياق التّاريخي الذي يتنزّل فيه و الأسس المعرفية (</w:t>
      </w:r>
      <w:proofErr w:type="spellStart"/>
      <w:r w:rsidRPr="00F00F4B">
        <w:rPr>
          <w:rFonts w:ascii="Sakkal Majalla" w:hAnsi="Sakkal Majalla" w:cs="Sakkal Majalla"/>
          <w:sz w:val="32"/>
          <w:szCs w:val="32"/>
          <w:rtl/>
        </w:rPr>
        <w:t>الابستمولوجية</w:t>
      </w:r>
      <w:proofErr w:type="spellEnd"/>
      <w:r w:rsidRPr="00F00F4B">
        <w:rPr>
          <w:rFonts w:ascii="Sakkal Majalla" w:hAnsi="Sakkal Majalla" w:cs="Sakkal Majalla"/>
          <w:sz w:val="32"/>
          <w:szCs w:val="32"/>
          <w:rtl/>
        </w:rPr>
        <w:t xml:space="preserve">) القائم عليها لاسيّما أنّ المفاهيم التي نتوسّل بها مفاهيم شبّت في منابتَ أخرى وتولّدت عن تيّارات فكرية و إيديولوجية و رؤيةٍ للعالَم تختلف عمّا هو موجود عندنا... ". </w:t>
      </w:r>
    </w:p>
    <w:p w14:paraId="7D4FB805" w14:textId="77777777" w:rsidR="00F00F4B" w:rsidRPr="00F00F4B" w:rsidRDefault="00F00F4B" w:rsidP="007910C8">
      <w:pPr>
        <w:bidi/>
        <w:ind w:left="283"/>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وتتلخص فكرة هذه الفئة </w:t>
      </w:r>
      <w:proofErr w:type="gramStart"/>
      <w:r w:rsidRPr="00F00F4B">
        <w:rPr>
          <w:rFonts w:ascii="Sakkal Majalla" w:hAnsi="Sakkal Majalla" w:cs="Sakkal Majalla"/>
          <w:sz w:val="32"/>
          <w:szCs w:val="32"/>
          <w:rtl/>
        </w:rPr>
        <w:t>في  "</w:t>
      </w:r>
      <w:proofErr w:type="gramEnd"/>
      <w:r w:rsidRPr="00F00F4B">
        <w:rPr>
          <w:rFonts w:ascii="Sakkal Majalla" w:hAnsi="Sakkal Majalla" w:cs="Sakkal Majalla"/>
          <w:sz w:val="32"/>
          <w:szCs w:val="32"/>
          <w:rtl/>
        </w:rPr>
        <w:t xml:space="preserve">... أنّه لا يصحّ – حين يجد الباحث تشابهاً بين علمين أن يعوّل على مجرّد السّبق الزّمني و يتخذّه دليلاً على تأثير السّابق في اللاّحق – فالعقل البشري هو العقل البشري في أيّ بقعةٍ من أنحاء العالم. </w:t>
      </w:r>
      <w:proofErr w:type="gramStart"/>
      <w:r w:rsidRPr="00F00F4B">
        <w:rPr>
          <w:rFonts w:ascii="Sakkal Majalla" w:hAnsi="Sakkal Majalla" w:cs="Sakkal Majalla"/>
          <w:sz w:val="32"/>
          <w:szCs w:val="32"/>
          <w:rtl/>
        </w:rPr>
        <w:t>و ما</w:t>
      </w:r>
      <w:proofErr w:type="gramEnd"/>
      <w:r w:rsidRPr="00F00F4B">
        <w:rPr>
          <w:rFonts w:ascii="Sakkal Majalla" w:hAnsi="Sakkal Majalla" w:cs="Sakkal Majalla"/>
          <w:sz w:val="32"/>
          <w:szCs w:val="32"/>
          <w:rtl/>
        </w:rPr>
        <w:t xml:space="preserve"> يهتدي إليه المرء في بلدٍ قد يهتدي إليه آخر في بلدٍ آخر دون أن يطّلع على ما انتهى إليه غيره "</w:t>
      </w:r>
    </w:p>
    <w:p w14:paraId="1FF20DEB" w14:textId="77777777" w:rsidR="00F00F4B" w:rsidRPr="00F00F4B" w:rsidRDefault="00F00F4B" w:rsidP="007910C8">
      <w:pPr>
        <w:bidi/>
        <w:ind w:left="283"/>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يقول أحد الباحثين </w:t>
      </w:r>
      <w:proofErr w:type="gramStart"/>
      <w:r w:rsidRPr="00F00F4B">
        <w:rPr>
          <w:rFonts w:ascii="Sakkal Majalla" w:hAnsi="Sakkal Majalla" w:cs="Sakkal Majalla"/>
          <w:sz w:val="32"/>
          <w:szCs w:val="32"/>
          <w:rtl/>
        </w:rPr>
        <w:t>موضحا :</w:t>
      </w:r>
      <w:proofErr w:type="gramEnd"/>
      <w:r w:rsidRPr="00F00F4B">
        <w:rPr>
          <w:rFonts w:ascii="Sakkal Majalla" w:hAnsi="Sakkal Majalla" w:cs="Sakkal Majalla"/>
          <w:sz w:val="32"/>
          <w:szCs w:val="32"/>
          <w:rtl/>
        </w:rPr>
        <w:t xml:space="preserve"> « إنّنا عندما نقول بأنّ النّحو العربي بنيوي في أسسه المنهجية والنّظرية ثمّ نعود فنبيّن بأنّه توليدي تحويلي في أصوله و مصطلحاته نقع دون شكّ في مفارقةٍ منهجيةٍ ومغالطة </w:t>
      </w:r>
      <w:proofErr w:type="spellStart"/>
      <w:r w:rsidRPr="00F00F4B">
        <w:rPr>
          <w:rFonts w:ascii="Sakkal Majalla" w:hAnsi="Sakkal Majalla" w:cs="Sakkal Majalla"/>
          <w:sz w:val="32"/>
          <w:szCs w:val="32"/>
          <w:rtl/>
        </w:rPr>
        <w:t>ابستمولوجية</w:t>
      </w:r>
      <w:proofErr w:type="spellEnd"/>
      <w:r w:rsidRPr="00F00F4B">
        <w:rPr>
          <w:rFonts w:ascii="Sakkal Majalla" w:hAnsi="Sakkal Majalla" w:cs="Sakkal Majalla"/>
          <w:sz w:val="32"/>
          <w:szCs w:val="32"/>
          <w:rtl/>
        </w:rPr>
        <w:t xml:space="preserve">، إنّ ما يكون بنيوياً </w:t>
      </w:r>
      <w:proofErr w:type="spellStart"/>
      <w:r w:rsidRPr="00F00F4B">
        <w:rPr>
          <w:rFonts w:ascii="Sakkal Majalla" w:hAnsi="Sakkal Majalla" w:cs="Sakkal Majalla"/>
          <w:sz w:val="32"/>
          <w:szCs w:val="32"/>
          <w:rtl/>
        </w:rPr>
        <w:t>تصنيفياً</w:t>
      </w:r>
      <w:proofErr w:type="spellEnd"/>
      <w:r w:rsidRPr="00F00F4B">
        <w:rPr>
          <w:rFonts w:ascii="Sakkal Majalla" w:hAnsi="Sakkal Majalla" w:cs="Sakkal Majalla"/>
          <w:sz w:val="32"/>
          <w:szCs w:val="32"/>
          <w:rtl/>
        </w:rPr>
        <w:t xml:space="preserve"> لا يمكنه أن يكون في الوقتِ ذاتِه </w:t>
      </w:r>
      <w:proofErr w:type="spellStart"/>
      <w:r w:rsidRPr="00F00F4B">
        <w:rPr>
          <w:rFonts w:ascii="Sakkal Majalla" w:hAnsi="Sakkal Majalla" w:cs="Sakkal Majalla"/>
          <w:sz w:val="32"/>
          <w:szCs w:val="32"/>
          <w:rtl/>
        </w:rPr>
        <w:t>توليدياً</w:t>
      </w:r>
      <w:proofErr w:type="spellEnd"/>
      <w:r w:rsidRPr="00F00F4B">
        <w:rPr>
          <w:rFonts w:ascii="Sakkal Majalla" w:hAnsi="Sakkal Majalla" w:cs="Sakkal Majalla"/>
          <w:sz w:val="32"/>
          <w:szCs w:val="32"/>
          <w:rtl/>
        </w:rPr>
        <w:t xml:space="preserve"> تحويليا  نظراً لاختلاف الأسس النّظرية والمنهجية بين التّصورين ".</w:t>
      </w:r>
    </w:p>
    <w:p w14:paraId="240CBE73" w14:textId="77777777" w:rsidR="00F00F4B" w:rsidRPr="00F00F4B" w:rsidRDefault="00F00F4B" w:rsidP="007910C8">
      <w:pPr>
        <w:bidi/>
        <w:ind w:left="283"/>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ويخلص الباحث </w:t>
      </w:r>
      <w:proofErr w:type="gramStart"/>
      <w:r w:rsidRPr="00F00F4B">
        <w:rPr>
          <w:rFonts w:ascii="Sakkal Majalla" w:hAnsi="Sakkal Majalla" w:cs="Sakkal Majalla"/>
          <w:sz w:val="32"/>
          <w:szCs w:val="32"/>
          <w:rtl/>
        </w:rPr>
        <w:t>( منذر</w:t>
      </w:r>
      <w:proofErr w:type="gramEnd"/>
      <w:r w:rsidRPr="00F00F4B">
        <w:rPr>
          <w:rFonts w:ascii="Sakkal Majalla" w:hAnsi="Sakkal Majalla" w:cs="Sakkal Majalla"/>
          <w:sz w:val="32"/>
          <w:szCs w:val="32"/>
          <w:rtl/>
        </w:rPr>
        <w:t xml:space="preserve"> عياشي ) إلى مفهوم دقيق لمصطلح تحيين التراث قائلا : " إنّ التّراث اللّغوي العربي دليل حضارة شيّدت بنيانها وفق نظامٍ، كان العقل المعماري فيه هو الأساسَ لكلّ تصوّرٍ نظري وعملي، وإنّ تراثاً كهذا، لا يعقل أن يكون قد خلا من معالجاتٍ دلاليةٍ بمفهوم العلم كما ندركه الآن، خاصّة وأنّ التّراث اللّغوي يعدّ سمةً فارقةً لحضارة قومٍ، يمكن أن نطلق عليها </w:t>
      </w:r>
      <w:r w:rsidRPr="00F00F4B">
        <w:rPr>
          <w:rFonts w:ascii="Sakkal Majalla" w:hAnsi="Sakkal Majalla" w:cs="Sakkal Majalla"/>
          <w:b/>
          <w:bCs/>
          <w:sz w:val="32"/>
          <w:szCs w:val="32"/>
          <w:rtl/>
        </w:rPr>
        <w:t>(حضارة النصّ)</w:t>
      </w:r>
      <w:r w:rsidRPr="00F00F4B">
        <w:rPr>
          <w:rFonts w:ascii="Sakkal Majalla" w:hAnsi="Sakkal Majalla" w:cs="Sakkal Majalla"/>
          <w:sz w:val="32"/>
          <w:szCs w:val="32"/>
          <w:rtl/>
        </w:rPr>
        <w:t xml:space="preserve"> ".</w:t>
      </w:r>
    </w:p>
    <w:p w14:paraId="173F2561" w14:textId="77777777" w:rsidR="00F00F4B" w:rsidRPr="00F00F4B" w:rsidRDefault="00F00F4B" w:rsidP="007910C8">
      <w:pPr>
        <w:bidi/>
        <w:ind w:left="283"/>
        <w:jc w:val="both"/>
        <w:rPr>
          <w:rFonts w:ascii="Sakkal Majalla" w:hAnsi="Sakkal Majalla" w:cs="Sakkal Majalla"/>
          <w:sz w:val="32"/>
          <w:szCs w:val="32"/>
          <w:lang w:bidi="ar-DZ"/>
        </w:rPr>
      </w:pPr>
      <w:r w:rsidRPr="00F00F4B">
        <w:rPr>
          <w:rFonts w:ascii="Sakkal Majalla" w:hAnsi="Sakkal Majalla" w:cs="Sakkal Majalla"/>
          <w:sz w:val="32"/>
          <w:szCs w:val="32"/>
          <w:rtl/>
        </w:rPr>
        <w:t xml:space="preserve">    يقول أحد الباحثين </w:t>
      </w:r>
      <w:proofErr w:type="gramStart"/>
      <w:r w:rsidRPr="00F00F4B">
        <w:rPr>
          <w:rFonts w:ascii="Sakkal Majalla" w:hAnsi="Sakkal Majalla" w:cs="Sakkal Majalla"/>
          <w:sz w:val="32"/>
          <w:szCs w:val="32"/>
          <w:rtl/>
        </w:rPr>
        <w:t>موضحا :</w:t>
      </w:r>
      <w:proofErr w:type="gramEnd"/>
      <w:r w:rsidRPr="00F00F4B">
        <w:rPr>
          <w:rFonts w:ascii="Sakkal Majalla" w:hAnsi="Sakkal Majalla" w:cs="Sakkal Majalla"/>
          <w:sz w:val="32"/>
          <w:szCs w:val="32"/>
          <w:rtl/>
        </w:rPr>
        <w:t xml:space="preserve"> « إنّنا عندما نقول بأنّ النّحو العربي بنيوي في أسسه المنهجية والنّظرية ثمّ نعود فنبيّن بأنّه توليدي تحويلي في أصوله و مصطلحاته نقع دون شكّ في مفارقةٍ منهجيةٍ ومغالطة </w:t>
      </w:r>
      <w:proofErr w:type="spellStart"/>
      <w:r w:rsidRPr="00F00F4B">
        <w:rPr>
          <w:rFonts w:ascii="Sakkal Majalla" w:hAnsi="Sakkal Majalla" w:cs="Sakkal Majalla"/>
          <w:sz w:val="32"/>
          <w:szCs w:val="32"/>
          <w:rtl/>
        </w:rPr>
        <w:t>ابستمولوجية</w:t>
      </w:r>
      <w:proofErr w:type="spellEnd"/>
      <w:r w:rsidRPr="00F00F4B">
        <w:rPr>
          <w:rFonts w:ascii="Sakkal Majalla" w:hAnsi="Sakkal Majalla" w:cs="Sakkal Majalla"/>
          <w:sz w:val="32"/>
          <w:szCs w:val="32"/>
          <w:rtl/>
        </w:rPr>
        <w:t xml:space="preserve">، إنّ ما يكون بنيوياً </w:t>
      </w:r>
      <w:proofErr w:type="spellStart"/>
      <w:r w:rsidRPr="00F00F4B">
        <w:rPr>
          <w:rFonts w:ascii="Sakkal Majalla" w:hAnsi="Sakkal Majalla" w:cs="Sakkal Majalla"/>
          <w:sz w:val="32"/>
          <w:szCs w:val="32"/>
          <w:rtl/>
        </w:rPr>
        <w:t>تصنيفياً</w:t>
      </w:r>
      <w:proofErr w:type="spellEnd"/>
      <w:r w:rsidRPr="00F00F4B">
        <w:rPr>
          <w:rFonts w:ascii="Sakkal Majalla" w:hAnsi="Sakkal Majalla" w:cs="Sakkal Majalla"/>
          <w:sz w:val="32"/>
          <w:szCs w:val="32"/>
          <w:rtl/>
        </w:rPr>
        <w:t xml:space="preserve"> لا يمكنه أن يكون في الوقتِ ذاتِه </w:t>
      </w:r>
      <w:proofErr w:type="spellStart"/>
      <w:r w:rsidRPr="00F00F4B">
        <w:rPr>
          <w:rFonts w:ascii="Sakkal Majalla" w:hAnsi="Sakkal Majalla" w:cs="Sakkal Majalla"/>
          <w:sz w:val="32"/>
          <w:szCs w:val="32"/>
          <w:rtl/>
        </w:rPr>
        <w:t>توليدياً</w:t>
      </w:r>
      <w:proofErr w:type="spellEnd"/>
      <w:r w:rsidRPr="00F00F4B">
        <w:rPr>
          <w:rFonts w:ascii="Sakkal Majalla" w:hAnsi="Sakkal Majalla" w:cs="Sakkal Majalla"/>
          <w:sz w:val="32"/>
          <w:szCs w:val="32"/>
          <w:rtl/>
        </w:rPr>
        <w:t xml:space="preserve"> تحويليا  نظراً لاختلاف الأسس النّظرية والمنهجية بين التّصورين ".</w:t>
      </w:r>
    </w:p>
    <w:p w14:paraId="6C89C2FE" w14:textId="77777777" w:rsidR="00F00F4B" w:rsidRPr="007910C8" w:rsidRDefault="00F00F4B" w:rsidP="007910C8">
      <w:pPr>
        <w:bidi/>
        <w:ind w:left="283"/>
        <w:jc w:val="both"/>
        <w:rPr>
          <w:rFonts w:ascii="Sakkal Majalla" w:hAnsi="Sakkal Majalla" w:cs="Sakkal Majalla"/>
          <w:sz w:val="32"/>
          <w:szCs w:val="32"/>
          <w:rtl/>
        </w:rPr>
      </w:pPr>
      <w:r w:rsidRPr="00F00F4B">
        <w:rPr>
          <w:rFonts w:ascii="Sakkal Majalla" w:hAnsi="Sakkal Majalla" w:cs="Sakkal Majalla"/>
          <w:sz w:val="32"/>
          <w:szCs w:val="32"/>
          <w:rtl/>
        </w:rPr>
        <w:lastRenderedPageBreak/>
        <w:t xml:space="preserve">    ويخلص الباحث </w:t>
      </w:r>
      <w:proofErr w:type="gramStart"/>
      <w:r w:rsidRPr="00F00F4B">
        <w:rPr>
          <w:rFonts w:ascii="Sakkal Majalla" w:hAnsi="Sakkal Majalla" w:cs="Sakkal Majalla"/>
          <w:sz w:val="32"/>
          <w:szCs w:val="32"/>
          <w:rtl/>
        </w:rPr>
        <w:t>( منذر</w:t>
      </w:r>
      <w:proofErr w:type="gramEnd"/>
      <w:r w:rsidRPr="00F00F4B">
        <w:rPr>
          <w:rFonts w:ascii="Sakkal Majalla" w:hAnsi="Sakkal Majalla" w:cs="Sakkal Majalla"/>
          <w:sz w:val="32"/>
          <w:szCs w:val="32"/>
          <w:rtl/>
        </w:rPr>
        <w:t xml:space="preserve"> عياشي ) إلى مفهوم دقيق لمصطلح تحيين التراث قائلا : " إنّ التّراث اللّغوي العربي دليل حضارة شيّدت بنيانها وفق نظامٍ، كان العقل المعماري فيه هو الأساسَ لكلّ تصوّرٍ نظري وعملي، وإنّ تراثاً كهذا، لا يعقل أن يكون قد خلا من معالجاتٍ دلاليةٍ بمفهوم العلم كما ندركه الآن، خاصّة وأنّ التّراث اللّغوي يعدّ سمةً فارقةً لحضارة قومٍ، يمكن أن نطلق عليها </w:t>
      </w:r>
      <w:r w:rsidRPr="00F00F4B">
        <w:rPr>
          <w:rFonts w:ascii="Sakkal Majalla" w:hAnsi="Sakkal Majalla" w:cs="Sakkal Majalla"/>
          <w:b/>
          <w:bCs/>
          <w:sz w:val="32"/>
          <w:szCs w:val="32"/>
          <w:rtl/>
        </w:rPr>
        <w:t>(حضارة النصّ)</w:t>
      </w:r>
      <w:r w:rsidRPr="00F00F4B">
        <w:rPr>
          <w:rFonts w:ascii="Sakkal Majalla" w:hAnsi="Sakkal Majalla" w:cs="Sakkal Majalla"/>
          <w:sz w:val="32"/>
          <w:szCs w:val="32"/>
          <w:rtl/>
        </w:rPr>
        <w:t xml:space="preserve"> ".</w:t>
      </w:r>
    </w:p>
    <w:p w14:paraId="1ED769FF" w14:textId="777EFE28" w:rsidR="00F00F4B" w:rsidRPr="00F00F4B" w:rsidRDefault="00F00F4B" w:rsidP="007910C8">
      <w:pPr>
        <w:bidi/>
        <w:ind w:left="283"/>
        <w:jc w:val="both"/>
        <w:rPr>
          <w:rFonts w:ascii="Sakkal Majalla" w:hAnsi="Sakkal Majalla" w:cs="Sakkal Majalla"/>
          <w:b/>
          <w:bCs/>
          <w:sz w:val="36"/>
          <w:szCs w:val="36"/>
          <w:lang w:bidi="ar-DZ"/>
        </w:rPr>
      </w:pPr>
      <w:r w:rsidRPr="007910C8">
        <w:rPr>
          <w:rFonts w:ascii="Sakkal Majalla" w:hAnsi="Sakkal Majalla" w:cs="Sakkal Majalla"/>
          <w:b/>
          <w:bCs/>
          <w:sz w:val="36"/>
          <w:szCs w:val="36"/>
          <w:rtl/>
        </w:rPr>
        <w:t xml:space="preserve">مفهوم تحيين التراث: </w:t>
      </w:r>
    </w:p>
    <w:p w14:paraId="1BA21D78" w14:textId="0A4D57D1" w:rsidR="00F00F4B" w:rsidRPr="007910C8" w:rsidRDefault="00F00F4B" w:rsidP="007910C8">
      <w:pPr>
        <w:bidi/>
        <w:ind w:left="283"/>
        <w:jc w:val="both"/>
        <w:rPr>
          <w:rFonts w:ascii="Sakkal Majalla" w:hAnsi="Sakkal Majalla" w:cs="Sakkal Majalla"/>
          <w:sz w:val="32"/>
          <w:szCs w:val="32"/>
          <w:rtl/>
          <w:lang w:bidi="ar-DZ"/>
        </w:rPr>
      </w:pPr>
      <w:r w:rsidRPr="007910C8">
        <w:rPr>
          <w:rFonts w:ascii="Sakkal Majalla" w:hAnsi="Sakkal Majalla" w:cs="Sakkal Majalla"/>
          <w:noProof/>
        </w:rPr>
        <w:drawing>
          <wp:inline distT="0" distB="0" distL="0" distR="0" wp14:anchorId="542E9C21" wp14:editId="345917A7">
            <wp:extent cx="5760720" cy="2801620"/>
            <wp:effectExtent l="0" t="0" r="0" b="0"/>
            <wp:docPr id="255863828"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2188228" w14:textId="77777777" w:rsidR="007910C8" w:rsidRPr="007910C8" w:rsidRDefault="007910C8" w:rsidP="007910C8">
      <w:pPr>
        <w:bidi/>
        <w:jc w:val="both"/>
        <w:rPr>
          <w:rFonts w:ascii="Sakkal Majalla" w:hAnsi="Sakkal Majalla" w:cs="Sakkal Majalla"/>
          <w:sz w:val="32"/>
          <w:szCs w:val="32"/>
          <w:rtl/>
          <w:lang w:bidi="ar-DZ"/>
        </w:rPr>
      </w:pPr>
    </w:p>
    <w:p w14:paraId="652F53E0" w14:textId="77777777" w:rsidR="007910C8" w:rsidRPr="007910C8" w:rsidRDefault="007910C8" w:rsidP="007910C8">
      <w:pPr>
        <w:bidi/>
        <w:jc w:val="both"/>
        <w:rPr>
          <w:rFonts w:ascii="Sakkal Majalla" w:hAnsi="Sakkal Majalla" w:cs="Sakkal Majalla"/>
          <w:sz w:val="32"/>
          <w:szCs w:val="32"/>
          <w:lang w:bidi="ar-DZ"/>
        </w:rPr>
      </w:pPr>
      <w:r w:rsidRPr="007910C8">
        <w:rPr>
          <w:rFonts w:ascii="Sakkal Majalla" w:hAnsi="Sakkal Majalla" w:cs="Sakkal Majalla"/>
          <w:sz w:val="32"/>
          <w:szCs w:val="32"/>
          <w:rtl/>
        </w:rPr>
        <w:t xml:space="preserve">     يوضح الباحث " نصر حامد أبو زيد " هذا المفهوم حين يُقرّ بأنّ هناك</w:t>
      </w:r>
      <w:r w:rsidRPr="007910C8">
        <w:rPr>
          <w:rFonts w:ascii="Sakkal Majalla" w:hAnsi="Sakkal Majalla" w:cs="Sakkal Majalla"/>
          <w:b/>
          <w:bCs/>
          <w:sz w:val="32"/>
          <w:szCs w:val="32"/>
          <w:rtl/>
        </w:rPr>
        <w:t xml:space="preserve"> "</w:t>
      </w:r>
      <w:r w:rsidRPr="007910C8">
        <w:rPr>
          <w:rFonts w:ascii="Sakkal Majalla" w:hAnsi="Sakkal Majalla" w:cs="Sakkal Majalla"/>
          <w:sz w:val="32"/>
          <w:szCs w:val="32"/>
          <w:rtl/>
        </w:rPr>
        <w:t xml:space="preserve">... حقيقةً ترتبط بطبيعة العلاقة بين التّراث... ووعينا المعاصر؛ إذ ليس للتّراث وجودٌ مستقلٌّ خارج وعينا به، وفهمنا إيّاه. ووجوده المستقلّ... إنّما يتمثّل في شكلٍ من أشكال الوجود الفيزيقي العيني الذّي يمكن أن يدرَك بالحسّ </w:t>
      </w:r>
      <w:proofErr w:type="gramStart"/>
      <w:r w:rsidRPr="007910C8">
        <w:rPr>
          <w:rFonts w:ascii="Sakkal Majalla" w:hAnsi="Sakkal Majalla" w:cs="Sakkal Majalla"/>
          <w:sz w:val="32"/>
          <w:szCs w:val="32"/>
          <w:rtl/>
        </w:rPr>
        <w:t>و يخضع</w:t>
      </w:r>
      <w:proofErr w:type="gramEnd"/>
      <w:r w:rsidRPr="007910C8">
        <w:rPr>
          <w:rFonts w:ascii="Sakkal Majalla" w:hAnsi="Sakkal Majalla" w:cs="Sakkal Majalla"/>
          <w:sz w:val="32"/>
          <w:szCs w:val="32"/>
          <w:rtl/>
        </w:rPr>
        <w:t xml:space="preserve"> لمقاييس الفراغ المكاني الذي يحتلّه على رفوف المكتبات في شكل مجلّدات مطبوعة أو مخطوطة. وليس هذا الوجود العيني هو ما يعنينا؛ وإنّما الذي يعنينا وجوده في معرفتنا </w:t>
      </w:r>
      <w:proofErr w:type="gramStart"/>
      <w:r w:rsidRPr="007910C8">
        <w:rPr>
          <w:rFonts w:ascii="Sakkal Majalla" w:hAnsi="Sakkal Majalla" w:cs="Sakkal Majalla"/>
          <w:sz w:val="32"/>
          <w:szCs w:val="32"/>
          <w:rtl/>
        </w:rPr>
        <w:t>و في</w:t>
      </w:r>
      <w:proofErr w:type="gramEnd"/>
      <w:r w:rsidRPr="007910C8">
        <w:rPr>
          <w:rFonts w:ascii="Sakkal Majalla" w:hAnsi="Sakkal Majalla" w:cs="Sakkal Majalla"/>
          <w:sz w:val="32"/>
          <w:szCs w:val="32"/>
          <w:rtl/>
        </w:rPr>
        <w:t xml:space="preserve"> وعينا الثّقافي. وهذا الوجود في الوعي هو الذي نصفه بعدم الاستقلال... ولا يعترض علينا معترض باسم الموضوعية زاعماً أنّنا نفرض على نقّاد ذلك العصر مناهجنا العلمية الحديثة، أو نطلب من التّراث ما لم يكن من شأنه أن يوجد فيه؛ لأنّ هذا المعترض حين يقرأ التّراث قراءته الموضوعية كثيراً ما يحكّم ذوقه ويدخل مفاهيمَه العصريةَ في الحكم على هذا التّراث... وليس أدلّ على انتفاء القراءة الموضوعية من مثل هذه الأحكام التي تنظر إلى التّراث من خلال مفاهيم عصرية ".</w:t>
      </w:r>
    </w:p>
    <w:p w14:paraId="255E992A" w14:textId="77777777" w:rsidR="007910C8" w:rsidRPr="007910C8" w:rsidRDefault="007910C8" w:rsidP="007910C8">
      <w:pPr>
        <w:bidi/>
        <w:jc w:val="both"/>
        <w:rPr>
          <w:rFonts w:ascii="Sakkal Majalla" w:hAnsi="Sakkal Majalla" w:cs="Sakkal Majalla"/>
          <w:sz w:val="32"/>
          <w:szCs w:val="32"/>
          <w:rtl/>
          <w:lang w:bidi="ar-DZ"/>
        </w:rPr>
      </w:pPr>
    </w:p>
    <w:sectPr w:rsidR="007910C8" w:rsidRPr="00791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767F"/>
    <w:multiLevelType w:val="hybridMultilevel"/>
    <w:tmpl w:val="ABA8E34C"/>
    <w:lvl w:ilvl="0" w:tplc="4DC4BDAA">
      <w:start w:val="3"/>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15:restartNumberingAfterBreak="0">
    <w:nsid w:val="4F787AD4"/>
    <w:multiLevelType w:val="hybridMultilevel"/>
    <w:tmpl w:val="CDFA970E"/>
    <w:lvl w:ilvl="0" w:tplc="830ABDF4">
      <w:start w:val="1"/>
      <w:numFmt w:val="bullet"/>
      <w:lvlText w:val=""/>
      <w:lvlJc w:val="left"/>
      <w:pPr>
        <w:tabs>
          <w:tab w:val="num" w:pos="720"/>
        </w:tabs>
        <w:ind w:left="720" w:hanging="360"/>
      </w:pPr>
      <w:rPr>
        <w:rFonts w:ascii="Wingdings 3" w:hAnsi="Wingdings 3" w:hint="default"/>
      </w:rPr>
    </w:lvl>
    <w:lvl w:ilvl="1" w:tplc="B852D316" w:tentative="1">
      <w:start w:val="1"/>
      <w:numFmt w:val="bullet"/>
      <w:lvlText w:val=""/>
      <w:lvlJc w:val="left"/>
      <w:pPr>
        <w:tabs>
          <w:tab w:val="num" w:pos="1440"/>
        </w:tabs>
        <w:ind w:left="1440" w:hanging="360"/>
      </w:pPr>
      <w:rPr>
        <w:rFonts w:ascii="Wingdings 3" w:hAnsi="Wingdings 3" w:hint="default"/>
      </w:rPr>
    </w:lvl>
    <w:lvl w:ilvl="2" w:tplc="AD0AD5A6" w:tentative="1">
      <w:start w:val="1"/>
      <w:numFmt w:val="bullet"/>
      <w:lvlText w:val=""/>
      <w:lvlJc w:val="left"/>
      <w:pPr>
        <w:tabs>
          <w:tab w:val="num" w:pos="2160"/>
        </w:tabs>
        <w:ind w:left="2160" w:hanging="360"/>
      </w:pPr>
      <w:rPr>
        <w:rFonts w:ascii="Wingdings 3" w:hAnsi="Wingdings 3" w:hint="default"/>
      </w:rPr>
    </w:lvl>
    <w:lvl w:ilvl="3" w:tplc="0214332C" w:tentative="1">
      <w:start w:val="1"/>
      <w:numFmt w:val="bullet"/>
      <w:lvlText w:val=""/>
      <w:lvlJc w:val="left"/>
      <w:pPr>
        <w:tabs>
          <w:tab w:val="num" w:pos="2880"/>
        </w:tabs>
        <w:ind w:left="2880" w:hanging="360"/>
      </w:pPr>
      <w:rPr>
        <w:rFonts w:ascii="Wingdings 3" w:hAnsi="Wingdings 3" w:hint="default"/>
      </w:rPr>
    </w:lvl>
    <w:lvl w:ilvl="4" w:tplc="7EF27A26" w:tentative="1">
      <w:start w:val="1"/>
      <w:numFmt w:val="bullet"/>
      <w:lvlText w:val=""/>
      <w:lvlJc w:val="left"/>
      <w:pPr>
        <w:tabs>
          <w:tab w:val="num" w:pos="3600"/>
        </w:tabs>
        <w:ind w:left="3600" w:hanging="360"/>
      </w:pPr>
      <w:rPr>
        <w:rFonts w:ascii="Wingdings 3" w:hAnsi="Wingdings 3" w:hint="default"/>
      </w:rPr>
    </w:lvl>
    <w:lvl w:ilvl="5" w:tplc="8DB001A4" w:tentative="1">
      <w:start w:val="1"/>
      <w:numFmt w:val="bullet"/>
      <w:lvlText w:val=""/>
      <w:lvlJc w:val="left"/>
      <w:pPr>
        <w:tabs>
          <w:tab w:val="num" w:pos="4320"/>
        </w:tabs>
        <w:ind w:left="4320" w:hanging="360"/>
      </w:pPr>
      <w:rPr>
        <w:rFonts w:ascii="Wingdings 3" w:hAnsi="Wingdings 3" w:hint="default"/>
      </w:rPr>
    </w:lvl>
    <w:lvl w:ilvl="6" w:tplc="62304E72" w:tentative="1">
      <w:start w:val="1"/>
      <w:numFmt w:val="bullet"/>
      <w:lvlText w:val=""/>
      <w:lvlJc w:val="left"/>
      <w:pPr>
        <w:tabs>
          <w:tab w:val="num" w:pos="5040"/>
        </w:tabs>
        <w:ind w:left="5040" w:hanging="360"/>
      </w:pPr>
      <w:rPr>
        <w:rFonts w:ascii="Wingdings 3" w:hAnsi="Wingdings 3" w:hint="default"/>
      </w:rPr>
    </w:lvl>
    <w:lvl w:ilvl="7" w:tplc="CFA6C9AC" w:tentative="1">
      <w:start w:val="1"/>
      <w:numFmt w:val="bullet"/>
      <w:lvlText w:val=""/>
      <w:lvlJc w:val="left"/>
      <w:pPr>
        <w:tabs>
          <w:tab w:val="num" w:pos="5760"/>
        </w:tabs>
        <w:ind w:left="5760" w:hanging="360"/>
      </w:pPr>
      <w:rPr>
        <w:rFonts w:ascii="Wingdings 3" w:hAnsi="Wingdings 3" w:hint="default"/>
      </w:rPr>
    </w:lvl>
    <w:lvl w:ilvl="8" w:tplc="6DF27A5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7E7933BE"/>
    <w:multiLevelType w:val="hybridMultilevel"/>
    <w:tmpl w:val="644C2CD4"/>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0357309">
    <w:abstractNumId w:val="1"/>
  </w:num>
  <w:num w:numId="2" w16cid:durableId="300775019">
    <w:abstractNumId w:val="2"/>
  </w:num>
  <w:num w:numId="3" w16cid:durableId="121164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4B"/>
    <w:rsid w:val="007910C8"/>
    <w:rsid w:val="00F00F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A211"/>
  <w15:chartTrackingRefBased/>
  <w15:docId w15:val="{017106BE-E466-4851-B3AA-A1A1809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0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227">
      <w:bodyDiv w:val="1"/>
      <w:marLeft w:val="0"/>
      <w:marRight w:val="0"/>
      <w:marTop w:val="0"/>
      <w:marBottom w:val="0"/>
      <w:divBdr>
        <w:top w:val="none" w:sz="0" w:space="0" w:color="auto"/>
        <w:left w:val="none" w:sz="0" w:space="0" w:color="auto"/>
        <w:bottom w:val="none" w:sz="0" w:space="0" w:color="auto"/>
        <w:right w:val="none" w:sz="0" w:space="0" w:color="auto"/>
      </w:divBdr>
    </w:div>
    <w:div w:id="63450305">
      <w:bodyDiv w:val="1"/>
      <w:marLeft w:val="0"/>
      <w:marRight w:val="0"/>
      <w:marTop w:val="0"/>
      <w:marBottom w:val="0"/>
      <w:divBdr>
        <w:top w:val="none" w:sz="0" w:space="0" w:color="auto"/>
        <w:left w:val="none" w:sz="0" w:space="0" w:color="auto"/>
        <w:bottom w:val="none" w:sz="0" w:space="0" w:color="auto"/>
        <w:right w:val="none" w:sz="0" w:space="0" w:color="auto"/>
      </w:divBdr>
    </w:div>
    <w:div w:id="120730616">
      <w:bodyDiv w:val="1"/>
      <w:marLeft w:val="0"/>
      <w:marRight w:val="0"/>
      <w:marTop w:val="0"/>
      <w:marBottom w:val="0"/>
      <w:divBdr>
        <w:top w:val="none" w:sz="0" w:space="0" w:color="auto"/>
        <w:left w:val="none" w:sz="0" w:space="0" w:color="auto"/>
        <w:bottom w:val="none" w:sz="0" w:space="0" w:color="auto"/>
        <w:right w:val="none" w:sz="0" w:space="0" w:color="auto"/>
      </w:divBdr>
    </w:div>
    <w:div w:id="336419264">
      <w:bodyDiv w:val="1"/>
      <w:marLeft w:val="0"/>
      <w:marRight w:val="0"/>
      <w:marTop w:val="0"/>
      <w:marBottom w:val="0"/>
      <w:divBdr>
        <w:top w:val="none" w:sz="0" w:space="0" w:color="auto"/>
        <w:left w:val="none" w:sz="0" w:space="0" w:color="auto"/>
        <w:bottom w:val="none" w:sz="0" w:space="0" w:color="auto"/>
        <w:right w:val="none" w:sz="0" w:space="0" w:color="auto"/>
      </w:divBdr>
    </w:div>
    <w:div w:id="388189813">
      <w:bodyDiv w:val="1"/>
      <w:marLeft w:val="0"/>
      <w:marRight w:val="0"/>
      <w:marTop w:val="0"/>
      <w:marBottom w:val="0"/>
      <w:divBdr>
        <w:top w:val="none" w:sz="0" w:space="0" w:color="auto"/>
        <w:left w:val="none" w:sz="0" w:space="0" w:color="auto"/>
        <w:bottom w:val="none" w:sz="0" w:space="0" w:color="auto"/>
        <w:right w:val="none" w:sz="0" w:space="0" w:color="auto"/>
      </w:divBdr>
    </w:div>
    <w:div w:id="780883266">
      <w:bodyDiv w:val="1"/>
      <w:marLeft w:val="0"/>
      <w:marRight w:val="0"/>
      <w:marTop w:val="0"/>
      <w:marBottom w:val="0"/>
      <w:divBdr>
        <w:top w:val="none" w:sz="0" w:space="0" w:color="auto"/>
        <w:left w:val="none" w:sz="0" w:space="0" w:color="auto"/>
        <w:bottom w:val="none" w:sz="0" w:space="0" w:color="auto"/>
        <w:right w:val="none" w:sz="0" w:space="0" w:color="auto"/>
      </w:divBdr>
    </w:div>
    <w:div w:id="927427753">
      <w:bodyDiv w:val="1"/>
      <w:marLeft w:val="0"/>
      <w:marRight w:val="0"/>
      <w:marTop w:val="0"/>
      <w:marBottom w:val="0"/>
      <w:divBdr>
        <w:top w:val="none" w:sz="0" w:space="0" w:color="auto"/>
        <w:left w:val="none" w:sz="0" w:space="0" w:color="auto"/>
        <w:bottom w:val="none" w:sz="0" w:space="0" w:color="auto"/>
        <w:right w:val="none" w:sz="0" w:space="0" w:color="auto"/>
      </w:divBdr>
    </w:div>
    <w:div w:id="1104955269">
      <w:bodyDiv w:val="1"/>
      <w:marLeft w:val="0"/>
      <w:marRight w:val="0"/>
      <w:marTop w:val="0"/>
      <w:marBottom w:val="0"/>
      <w:divBdr>
        <w:top w:val="none" w:sz="0" w:space="0" w:color="auto"/>
        <w:left w:val="none" w:sz="0" w:space="0" w:color="auto"/>
        <w:bottom w:val="none" w:sz="0" w:space="0" w:color="auto"/>
        <w:right w:val="none" w:sz="0" w:space="0" w:color="auto"/>
      </w:divBdr>
    </w:div>
    <w:div w:id="1287809016">
      <w:bodyDiv w:val="1"/>
      <w:marLeft w:val="0"/>
      <w:marRight w:val="0"/>
      <w:marTop w:val="0"/>
      <w:marBottom w:val="0"/>
      <w:divBdr>
        <w:top w:val="none" w:sz="0" w:space="0" w:color="auto"/>
        <w:left w:val="none" w:sz="0" w:space="0" w:color="auto"/>
        <w:bottom w:val="none" w:sz="0" w:space="0" w:color="auto"/>
        <w:right w:val="none" w:sz="0" w:space="0" w:color="auto"/>
      </w:divBdr>
    </w:div>
    <w:div w:id="1412852947">
      <w:bodyDiv w:val="1"/>
      <w:marLeft w:val="0"/>
      <w:marRight w:val="0"/>
      <w:marTop w:val="0"/>
      <w:marBottom w:val="0"/>
      <w:divBdr>
        <w:top w:val="none" w:sz="0" w:space="0" w:color="auto"/>
        <w:left w:val="none" w:sz="0" w:space="0" w:color="auto"/>
        <w:bottom w:val="none" w:sz="0" w:space="0" w:color="auto"/>
        <w:right w:val="none" w:sz="0" w:space="0" w:color="auto"/>
      </w:divBdr>
      <w:divsChild>
        <w:div w:id="1674144675">
          <w:marLeft w:val="0"/>
          <w:marRight w:val="547"/>
          <w:marTop w:val="200"/>
          <w:marBottom w:val="0"/>
          <w:divBdr>
            <w:top w:val="none" w:sz="0" w:space="0" w:color="auto"/>
            <w:left w:val="none" w:sz="0" w:space="0" w:color="auto"/>
            <w:bottom w:val="none" w:sz="0" w:space="0" w:color="auto"/>
            <w:right w:val="none" w:sz="0" w:space="0" w:color="auto"/>
          </w:divBdr>
        </w:div>
        <w:div w:id="319239828">
          <w:marLeft w:val="0"/>
          <w:marRight w:val="547"/>
          <w:marTop w:val="200"/>
          <w:marBottom w:val="0"/>
          <w:divBdr>
            <w:top w:val="none" w:sz="0" w:space="0" w:color="auto"/>
            <w:left w:val="none" w:sz="0" w:space="0" w:color="auto"/>
            <w:bottom w:val="none" w:sz="0" w:space="0" w:color="auto"/>
            <w:right w:val="none" w:sz="0" w:space="0" w:color="auto"/>
          </w:divBdr>
        </w:div>
      </w:divsChild>
    </w:div>
    <w:div w:id="1693653743">
      <w:bodyDiv w:val="1"/>
      <w:marLeft w:val="0"/>
      <w:marRight w:val="0"/>
      <w:marTop w:val="0"/>
      <w:marBottom w:val="0"/>
      <w:divBdr>
        <w:top w:val="none" w:sz="0" w:space="0" w:color="auto"/>
        <w:left w:val="none" w:sz="0" w:space="0" w:color="auto"/>
        <w:bottom w:val="none" w:sz="0" w:space="0" w:color="auto"/>
        <w:right w:val="none" w:sz="0" w:space="0" w:color="auto"/>
      </w:divBdr>
    </w:div>
    <w:div w:id="1816605981">
      <w:bodyDiv w:val="1"/>
      <w:marLeft w:val="0"/>
      <w:marRight w:val="0"/>
      <w:marTop w:val="0"/>
      <w:marBottom w:val="0"/>
      <w:divBdr>
        <w:top w:val="none" w:sz="0" w:space="0" w:color="auto"/>
        <w:left w:val="none" w:sz="0" w:space="0" w:color="auto"/>
        <w:bottom w:val="none" w:sz="0" w:space="0" w:color="auto"/>
        <w:right w:val="none" w:sz="0" w:space="0" w:color="auto"/>
      </w:divBdr>
    </w:div>
    <w:div w:id="1861502171">
      <w:bodyDiv w:val="1"/>
      <w:marLeft w:val="0"/>
      <w:marRight w:val="0"/>
      <w:marTop w:val="0"/>
      <w:marBottom w:val="0"/>
      <w:divBdr>
        <w:top w:val="none" w:sz="0" w:space="0" w:color="auto"/>
        <w:left w:val="none" w:sz="0" w:space="0" w:color="auto"/>
        <w:bottom w:val="none" w:sz="0" w:space="0" w:color="auto"/>
        <w:right w:val="none" w:sz="0" w:space="0" w:color="auto"/>
      </w:divBdr>
    </w:div>
    <w:div w:id="1924103463">
      <w:bodyDiv w:val="1"/>
      <w:marLeft w:val="0"/>
      <w:marRight w:val="0"/>
      <w:marTop w:val="0"/>
      <w:marBottom w:val="0"/>
      <w:divBdr>
        <w:top w:val="none" w:sz="0" w:space="0" w:color="auto"/>
        <w:left w:val="none" w:sz="0" w:space="0" w:color="auto"/>
        <w:bottom w:val="none" w:sz="0" w:space="0" w:color="auto"/>
        <w:right w:val="none" w:sz="0" w:space="0" w:color="auto"/>
      </w:divBdr>
    </w:div>
    <w:div w:id="1946158937">
      <w:bodyDiv w:val="1"/>
      <w:marLeft w:val="0"/>
      <w:marRight w:val="0"/>
      <w:marTop w:val="0"/>
      <w:marBottom w:val="0"/>
      <w:divBdr>
        <w:top w:val="none" w:sz="0" w:space="0" w:color="auto"/>
        <w:left w:val="none" w:sz="0" w:space="0" w:color="auto"/>
        <w:bottom w:val="none" w:sz="0" w:space="0" w:color="auto"/>
        <w:right w:val="none" w:sz="0" w:space="0" w:color="auto"/>
      </w:divBdr>
    </w:div>
    <w:div w:id="20410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_rels/data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A08BE0-1E8F-4536-9E65-7D687CCFE190}"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fr-FR"/>
        </a:p>
      </dgm:t>
    </dgm:pt>
    <dgm:pt modelId="{6586C13A-0900-4A23-BA57-4EAC91609B1D}">
      <dgm:prSet phldrT="[Texte]" custT="1"/>
      <dgm:spPr>
        <a:solidFill>
          <a:schemeClr val="accent2">
            <a:lumMod val="60000"/>
            <a:lumOff val="40000"/>
          </a:schemeClr>
        </a:solidFill>
      </dgm:spPr>
      <dgm:t>
        <a:bodyPr/>
        <a:lstStyle/>
        <a:p>
          <a:pPr rtl="1"/>
          <a:r>
            <a:rPr lang="ar-SA" sz="2000" b="1" dirty="0" err="1">
              <a:solidFill>
                <a:sysClr val="windowText" lastClr="000000"/>
              </a:solidFill>
              <a:latin typeface="Arabic Typesetting" panose="03020402040406030203" pitchFamily="66" charset="-78"/>
              <a:cs typeface="Arabic Typesetting" panose="03020402040406030203" pitchFamily="66" charset="-78"/>
            </a:rPr>
            <a:t>البدبل</a:t>
          </a:r>
          <a:r>
            <a:rPr lang="ar-SA" sz="2000" b="1" dirty="0">
              <a:solidFill>
                <a:sysClr val="windowText" lastClr="000000"/>
              </a:solidFill>
              <a:latin typeface="Arabic Typesetting" panose="03020402040406030203" pitchFamily="66" charset="-78"/>
              <a:cs typeface="Arabic Typesetting" panose="03020402040406030203" pitchFamily="66" charset="-78"/>
            </a:rPr>
            <a:t> المنهجي في قراءة التراث اللغوي العربي </a:t>
          </a:r>
          <a:endParaRPr lang="fr-FR" sz="2000" b="1" dirty="0">
            <a:solidFill>
              <a:sysClr val="windowText" lastClr="000000"/>
            </a:solidFill>
            <a:latin typeface="Arabic Typesetting" panose="03020402040406030203" pitchFamily="66" charset="-78"/>
            <a:cs typeface="Arabic Typesetting" panose="03020402040406030203" pitchFamily="66" charset="-78"/>
          </a:endParaRPr>
        </a:p>
      </dgm:t>
    </dgm:pt>
    <dgm:pt modelId="{6FEF97CA-5A81-42CC-9EE6-3442AA9C0BE5}" type="parTrans" cxnId="{7B79DD6B-7F8A-4969-987D-1E9B9E48FD6A}">
      <dgm:prSet/>
      <dgm:spPr/>
      <dgm:t>
        <a:bodyPr/>
        <a:lstStyle/>
        <a:p>
          <a:endParaRPr lang="fr-FR" sz="2000">
            <a:solidFill>
              <a:sysClr val="windowText" lastClr="000000"/>
            </a:solidFill>
          </a:endParaRPr>
        </a:p>
      </dgm:t>
    </dgm:pt>
    <dgm:pt modelId="{AEB04D46-EE4D-486A-A5B0-3A827CCFD2ED}" type="sibTrans" cxnId="{7B79DD6B-7F8A-4969-987D-1E9B9E48FD6A}">
      <dgm:prSet/>
      <dgm:spPr/>
      <dgm:t>
        <a:bodyPr/>
        <a:lstStyle/>
        <a:p>
          <a:endParaRPr lang="fr-FR" sz="2000">
            <a:solidFill>
              <a:sysClr val="windowText" lastClr="000000"/>
            </a:solidFill>
          </a:endParaRPr>
        </a:p>
      </dgm:t>
    </dgm:pt>
    <dgm:pt modelId="{6730A496-7ED8-49FD-ABCA-C03F2B8FB6E4}">
      <dgm:prSet phldrT="[Texte]" custT="1"/>
      <dgm:spPr>
        <a:solidFill>
          <a:schemeClr val="accent3">
            <a:lumMod val="60000"/>
            <a:lumOff val="40000"/>
          </a:schemeClr>
        </a:solidFill>
        <a:ln>
          <a:solidFill>
            <a:srgbClr val="7030A0"/>
          </a:solidFill>
        </a:ln>
        <a:effectLst/>
      </dgm:spPr>
      <dgm:t>
        <a:bodyPr/>
        <a:lstStyle/>
        <a:p>
          <a:pPr rtl="1"/>
          <a:r>
            <a:rPr lang="ar-SA" sz="2000" dirty="0">
              <a:solidFill>
                <a:sysClr val="windowText" lastClr="000000"/>
              </a:solidFill>
              <a:latin typeface="Arabic Typesetting" panose="03020402040406030203" pitchFamily="66" charset="-78"/>
              <a:cs typeface="Arabic Typesetting" panose="03020402040406030203" pitchFamily="66" charset="-78"/>
            </a:rPr>
            <a:t>تغييب التراث</a:t>
          </a:r>
          <a:endParaRPr lang="fr-FR" sz="2000" dirty="0">
            <a:solidFill>
              <a:sysClr val="windowText" lastClr="000000"/>
            </a:solidFill>
            <a:latin typeface="Arabic Typesetting" panose="03020402040406030203" pitchFamily="66" charset="-78"/>
            <a:cs typeface="Arabic Typesetting" panose="03020402040406030203" pitchFamily="66" charset="-78"/>
          </a:endParaRPr>
        </a:p>
      </dgm:t>
    </dgm:pt>
    <dgm:pt modelId="{2EEE2DAD-673E-4B8B-A5B0-35770BA46B02}" type="parTrans" cxnId="{9B875267-C756-44DB-98BC-22C10C87379E}">
      <dgm:prSet custT="1"/>
      <dgm:spPr/>
      <dgm:t>
        <a:bodyPr/>
        <a:lstStyle/>
        <a:p>
          <a:endParaRPr lang="fr-FR" sz="2000">
            <a:solidFill>
              <a:sysClr val="windowText" lastClr="000000"/>
            </a:solidFill>
          </a:endParaRPr>
        </a:p>
      </dgm:t>
    </dgm:pt>
    <dgm:pt modelId="{1BA511B3-0DF5-4451-B2C6-715346BFC722}" type="sibTrans" cxnId="{9B875267-C756-44DB-98BC-22C10C87379E}">
      <dgm:prSet/>
      <dgm:spPr/>
      <dgm:t>
        <a:bodyPr/>
        <a:lstStyle/>
        <a:p>
          <a:endParaRPr lang="fr-FR" sz="2000">
            <a:solidFill>
              <a:sysClr val="windowText" lastClr="000000"/>
            </a:solidFill>
          </a:endParaRPr>
        </a:p>
      </dgm:t>
    </dgm:pt>
    <dgm:pt modelId="{6CB421E9-7EAC-47FA-B196-8920BD9C869B}">
      <dgm:prSet phldrT="[Texte]" custT="1"/>
      <dgm:spPr>
        <a:solidFill>
          <a:schemeClr val="accent3">
            <a:lumMod val="60000"/>
            <a:lumOff val="40000"/>
          </a:schemeClr>
        </a:solidFill>
        <a:ln>
          <a:solidFill>
            <a:srgbClr val="7030A0"/>
          </a:solidFill>
        </a:ln>
      </dgm:spPr>
      <dgm:t>
        <a:bodyPr/>
        <a:lstStyle/>
        <a:p>
          <a:pPr rtl="1"/>
          <a:r>
            <a:rPr lang="ar-SA" sz="2000" dirty="0">
              <a:solidFill>
                <a:sysClr val="windowText" lastClr="000000"/>
              </a:solidFill>
              <a:latin typeface="Arabic Typesetting" panose="03020402040406030203" pitchFamily="66" charset="-78"/>
              <a:cs typeface="Arabic Typesetting" panose="03020402040406030203" pitchFamily="66" charset="-78"/>
            </a:rPr>
            <a:t>تغييب النظريات الغربية الحديثة</a:t>
          </a:r>
          <a:endParaRPr lang="fr-FR" sz="2000" dirty="0">
            <a:solidFill>
              <a:sysClr val="windowText" lastClr="000000"/>
            </a:solidFill>
            <a:latin typeface="Arabic Typesetting" panose="03020402040406030203" pitchFamily="66" charset="-78"/>
            <a:cs typeface="Arabic Typesetting" panose="03020402040406030203" pitchFamily="66" charset="-78"/>
          </a:endParaRPr>
        </a:p>
      </dgm:t>
    </dgm:pt>
    <dgm:pt modelId="{9423A12A-D9C2-4D4F-9F89-BE81BA0C2B4B}" type="parTrans" cxnId="{198A8E40-BCFB-482D-B9D6-AB0D926BA3D9}">
      <dgm:prSet custT="1"/>
      <dgm:spPr/>
      <dgm:t>
        <a:bodyPr/>
        <a:lstStyle/>
        <a:p>
          <a:endParaRPr lang="fr-FR" sz="2000">
            <a:solidFill>
              <a:sysClr val="windowText" lastClr="000000"/>
            </a:solidFill>
          </a:endParaRPr>
        </a:p>
      </dgm:t>
    </dgm:pt>
    <dgm:pt modelId="{DEB58FB0-04B1-4202-BFE1-7888D7291781}" type="sibTrans" cxnId="{198A8E40-BCFB-482D-B9D6-AB0D926BA3D9}">
      <dgm:prSet/>
      <dgm:spPr/>
      <dgm:t>
        <a:bodyPr/>
        <a:lstStyle/>
        <a:p>
          <a:endParaRPr lang="fr-FR" sz="2000">
            <a:solidFill>
              <a:sysClr val="windowText" lastClr="000000"/>
            </a:solidFill>
          </a:endParaRPr>
        </a:p>
      </dgm:t>
    </dgm:pt>
    <dgm:pt modelId="{FED5E2BD-F76C-416C-9531-A6B45BE2D225}">
      <dgm:prSet phldrT="[Texte]" custT="1"/>
      <dgm:spPr>
        <a:solidFill>
          <a:schemeClr val="accent3">
            <a:lumMod val="60000"/>
            <a:lumOff val="40000"/>
          </a:schemeClr>
        </a:solidFill>
        <a:ln>
          <a:solidFill>
            <a:srgbClr val="7030A0"/>
          </a:solidFill>
        </a:ln>
      </dgm:spPr>
      <dgm:t>
        <a:bodyPr/>
        <a:lstStyle/>
        <a:p>
          <a:pPr rtl="1"/>
          <a:r>
            <a:rPr lang="ar-SA" sz="2000" dirty="0">
              <a:solidFill>
                <a:sysClr val="windowText" lastClr="000000"/>
              </a:solidFill>
              <a:latin typeface="Arabic Typesetting" panose="03020402040406030203" pitchFamily="66" charset="-78"/>
              <a:cs typeface="Arabic Typesetting" panose="03020402040406030203" pitchFamily="66" charset="-78"/>
            </a:rPr>
            <a:t>تحيين التراث</a:t>
          </a:r>
          <a:r>
            <a:rPr lang="ar-SA" sz="2000" dirty="0">
              <a:solidFill>
                <a:sysClr val="windowText" lastClr="000000"/>
              </a:solidFill>
            </a:rPr>
            <a:t> </a:t>
          </a:r>
          <a:endParaRPr lang="fr-FR" sz="2000" dirty="0">
            <a:solidFill>
              <a:sysClr val="windowText" lastClr="000000"/>
            </a:solidFill>
          </a:endParaRPr>
        </a:p>
      </dgm:t>
    </dgm:pt>
    <dgm:pt modelId="{CE085580-630A-4D6F-9DC1-5A7C8709581E}" type="parTrans" cxnId="{5E85F9E9-4351-4B70-AA37-52600C885B53}">
      <dgm:prSet custT="1"/>
      <dgm:spPr/>
      <dgm:t>
        <a:bodyPr/>
        <a:lstStyle/>
        <a:p>
          <a:endParaRPr lang="fr-FR" sz="2000">
            <a:solidFill>
              <a:sysClr val="windowText" lastClr="000000"/>
            </a:solidFill>
          </a:endParaRPr>
        </a:p>
      </dgm:t>
    </dgm:pt>
    <dgm:pt modelId="{D71B5C7B-BDAE-4F49-912E-8213C6FBB185}" type="sibTrans" cxnId="{5E85F9E9-4351-4B70-AA37-52600C885B53}">
      <dgm:prSet/>
      <dgm:spPr/>
      <dgm:t>
        <a:bodyPr/>
        <a:lstStyle/>
        <a:p>
          <a:endParaRPr lang="fr-FR" sz="2000">
            <a:solidFill>
              <a:sysClr val="windowText" lastClr="000000"/>
            </a:solidFill>
          </a:endParaRPr>
        </a:p>
      </dgm:t>
    </dgm:pt>
    <dgm:pt modelId="{DFE53BDD-2D6F-4C52-831E-1C12F604A1CB}" type="pres">
      <dgm:prSet presAssocID="{F9A08BE0-1E8F-4536-9E65-7D687CCFE190}" presName="Name0" presStyleCnt="0">
        <dgm:presLayoutVars>
          <dgm:chPref val="1"/>
          <dgm:dir/>
          <dgm:animOne val="branch"/>
          <dgm:animLvl val="lvl"/>
          <dgm:resizeHandles val="exact"/>
        </dgm:presLayoutVars>
      </dgm:prSet>
      <dgm:spPr/>
    </dgm:pt>
    <dgm:pt modelId="{DA0BABAD-58C7-403E-8EAE-77EE37339F9A}" type="pres">
      <dgm:prSet presAssocID="{6586C13A-0900-4A23-BA57-4EAC91609B1D}" presName="root1" presStyleCnt="0"/>
      <dgm:spPr/>
    </dgm:pt>
    <dgm:pt modelId="{D3448F3D-DAE8-4C7E-8398-A5D82FB062A2}" type="pres">
      <dgm:prSet presAssocID="{6586C13A-0900-4A23-BA57-4EAC91609B1D}" presName="LevelOneTextNode" presStyleLbl="node0" presStyleIdx="0" presStyleCnt="1" custScaleX="188677" custLinFactNeighborX="-48461" custLinFactNeighborY="200">
        <dgm:presLayoutVars>
          <dgm:chPref val="3"/>
        </dgm:presLayoutVars>
      </dgm:prSet>
      <dgm:spPr/>
    </dgm:pt>
    <dgm:pt modelId="{9EE3B136-881D-44E2-86BF-AC8C987ACD5E}" type="pres">
      <dgm:prSet presAssocID="{6586C13A-0900-4A23-BA57-4EAC91609B1D}" presName="level2hierChild" presStyleCnt="0"/>
      <dgm:spPr/>
    </dgm:pt>
    <dgm:pt modelId="{A8240512-3CF8-45C5-906C-9803A9CFD396}" type="pres">
      <dgm:prSet presAssocID="{2EEE2DAD-673E-4B8B-A5B0-35770BA46B02}" presName="conn2-1" presStyleLbl="parChTrans1D2" presStyleIdx="0" presStyleCnt="3"/>
      <dgm:spPr/>
    </dgm:pt>
    <dgm:pt modelId="{CD5BD408-C13C-43CA-8B4F-0A6A48B96D9D}" type="pres">
      <dgm:prSet presAssocID="{2EEE2DAD-673E-4B8B-A5B0-35770BA46B02}" presName="connTx" presStyleLbl="parChTrans1D2" presStyleIdx="0" presStyleCnt="3"/>
      <dgm:spPr/>
    </dgm:pt>
    <dgm:pt modelId="{22924209-955B-4453-80C2-E41BE42251F9}" type="pres">
      <dgm:prSet presAssocID="{6730A496-7ED8-49FD-ABCA-C03F2B8FB6E4}" presName="root2" presStyleCnt="0"/>
      <dgm:spPr/>
    </dgm:pt>
    <dgm:pt modelId="{71C1229A-2D50-4BF9-8D8A-F0A9C06C6DC9}" type="pres">
      <dgm:prSet presAssocID="{6730A496-7ED8-49FD-ABCA-C03F2B8FB6E4}" presName="LevelTwoTextNode" presStyleLbl="node2" presStyleIdx="0" presStyleCnt="3">
        <dgm:presLayoutVars>
          <dgm:chPref val="3"/>
        </dgm:presLayoutVars>
      </dgm:prSet>
      <dgm:spPr/>
    </dgm:pt>
    <dgm:pt modelId="{3D2ECB45-8265-426C-AF0E-2DF87795F524}" type="pres">
      <dgm:prSet presAssocID="{6730A496-7ED8-49FD-ABCA-C03F2B8FB6E4}" presName="level3hierChild" presStyleCnt="0"/>
      <dgm:spPr/>
    </dgm:pt>
    <dgm:pt modelId="{C58CBFC5-4CC2-4CFF-B74A-1141DD48050C}" type="pres">
      <dgm:prSet presAssocID="{9423A12A-D9C2-4D4F-9F89-BE81BA0C2B4B}" presName="conn2-1" presStyleLbl="parChTrans1D2" presStyleIdx="1" presStyleCnt="3"/>
      <dgm:spPr/>
    </dgm:pt>
    <dgm:pt modelId="{EEC5D840-030B-47DF-A887-F46A38485E02}" type="pres">
      <dgm:prSet presAssocID="{9423A12A-D9C2-4D4F-9F89-BE81BA0C2B4B}" presName="connTx" presStyleLbl="parChTrans1D2" presStyleIdx="1" presStyleCnt="3"/>
      <dgm:spPr/>
    </dgm:pt>
    <dgm:pt modelId="{E80C7019-6727-4420-9E27-E1E80B375252}" type="pres">
      <dgm:prSet presAssocID="{6CB421E9-7EAC-47FA-B196-8920BD9C869B}" presName="root2" presStyleCnt="0"/>
      <dgm:spPr/>
    </dgm:pt>
    <dgm:pt modelId="{42B47E04-59AA-4769-BF35-C9B3BAA4E085}" type="pres">
      <dgm:prSet presAssocID="{6CB421E9-7EAC-47FA-B196-8920BD9C869B}" presName="LevelTwoTextNode" presStyleLbl="node2" presStyleIdx="1" presStyleCnt="3" custScaleX="127712">
        <dgm:presLayoutVars>
          <dgm:chPref val="3"/>
        </dgm:presLayoutVars>
      </dgm:prSet>
      <dgm:spPr/>
    </dgm:pt>
    <dgm:pt modelId="{8F79759E-11E2-40BA-8A49-51539D5BB29E}" type="pres">
      <dgm:prSet presAssocID="{6CB421E9-7EAC-47FA-B196-8920BD9C869B}" presName="level3hierChild" presStyleCnt="0"/>
      <dgm:spPr/>
    </dgm:pt>
    <dgm:pt modelId="{7C275193-6FBD-4FC6-A34F-AE862BF2D55F}" type="pres">
      <dgm:prSet presAssocID="{CE085580-630A-4D6F-9DC1-5A7C8709581E}" presName="conn2-1" presStyleLbl="parChTrans1D2" presStyleIdx="2" presStyleCnt="3"/>
      <dgm:spPr/>
    </dgm:pt>
    <dgm:pt modelId="{39A1C225-FBC1-450C-8559-C8D3173F8CB0}" type="pres">
      <dgm:prSet presAssocID="{CE085580-630A-4D6F-9DC1-5A7C8709581E}" presName="connTx" presStyleLbl="parChTrans1D2" presStyleIdx="2" presStyleCnt="3"/>
      <dgm:spPr/>
    </dgm:pt>
    <dgm:pt modelId="{10CD4E0E-0A07-4B16-9C9A-5E600A5F3B86}" type="pres">
      <dgm:prSet presAssocID="{FED5E2BD-F76C-416C-9531-A6B45BE2D225}" presName="root2" presStyleCnt="0"/>
      <dgm:spPr/>
    </dgm:pt>
    <dgm:pt modelId="{74E9CD2F-738B-417A-AD27-7C2390B10585}" type="pres">
      <dgm:prSet presAssocID="{FED5E2BD-F76C-416C-9531-A6B45BE2D225}" presName="LevelTwoTextNode" presStyleLbl="node2" presStyleIdx="2" presStyleCnt="3">
        <dgm:presLayoutVars>
          <dgm:chPref val="3"/>
        </dgm:presLayoutVars>
      </dgm:prSet>
      <dgm:spPr/>
    </dgm:pt>
    <dgm:pt modelId="{CA0D1EBF-EB05-4990-87B9-A504F907199D}" type="pres">
      <dgm:prSet presAssocID="{FED5E2BD-F76C-416C-9531-A6B45BE2D225}" presName="level3hierChild" presStyleCnt="0"/>
      <dgm:spPr/>
    </dgm:pt>
  </dgm:ptLst>
  <dgm:cxnLst>
    <dgm:cxn modelId="{732D903D-58ED-4C2F-8354-A4AC19843637}" type="presOf" srcId="{CE085580-630A-4D6F-9DC1-5A7C8709581E}" destId="{39A1C225-FBC1-450C-8559-C8D3173F8CB0}" srcOrd="1" destOrd="0" presId="urn:microsoft.com/office/officeart/2008/layout/HorizontalMultiLevelHierarchy"/>
    <dgm:cxn modelId="{198A8E40-BCFB-482D-B9D6-AB0D926BA3D9}" srcId="{6586C13A-0900-4A23-BA57-4EAC91609B1D}" destId="{6CB421E9-7EAC-47FA-B196-8920BD9C869B}" srcOrd="1" destOrd="0" parTransId="{9423A12A-D9C2-4D4F-9F89-BE81BA0C2B4B}" sibTransId="{DEB58FB0-04B1-4202-BFE1-7888D7291781}"/>
    <dgm:cxn modelId="{79342165-677C-4368-9541-E85322214809}" type="presOf" srcId="{F9A08BE0-1E8F-4536-9E65-7D687CCFE190}" destId="{DFE53BDD-2D6F-4C52-831E-1C12F604A1CB}" srcOrd="0" destOrd="0" presId="urn:microsoft.com/office/officeart/2008/layout/HorizontalMultiLevelHierarchy"/>
    <dgm:cxn modelId="{9B875267-C756-44DB-98BC-22C10C87379E}" srcId="{6586C13A-0900-4A23-BA57-4EAC91609B1D}" destId="{6730A496-7ED8-49FD-ABCA-C03F2B8FB6E4}" srcOrd="0" destOrd="0" parTransId="{2EEE2DAD-673E-4B8B-A5B0-35770BA46B02}" sibTransId="{1BA511B3-0DF5-4451-B2C6-715346BFC722}"/>
    <dgm:cxn modelId="{7B79DD6B-7F8A-4969-987D-1E9B9E48FD6A}" srcId="{F9A08BE0-1E8F-4536-9E65-7D687CCFE190}" destId="{6586C13A-0900-4A23-BA57-4EAC91609B1D}" srcOrd="0" destOrd="0" parTransId="{6FEF97CA-5A81-42CC-9EE6-3442AA9C0BE5}" sibTransId="{AEB04D46-EE4D-486A-A5B0-3A827CCFD2ED}"/>
    <dgm:cxn modelId="{D173C781-6518-4A40-8C60-5355BBBFACF1}" type="presOf" srcId="{9423A12A-D9C2-4D4F-9F89-BE81BA0C2B4B}" destId="{EEC5D840-030B-47DF-A887-F46A38485E02}" srcOrd="1" destOrd="0" presId="urn:microsoft.com/office/officeart/2008/layout/HorizontalMultiLevelHierarchy"/>
    <dgm:cxn modelId="{99966591-6727-487B-B7D7-993CBF724CCB}" type="presOf" srcId="{2EEE2DAD-673E-4B8B-A5B0-35770BA46B02}" destId="{A8240512-3CF8-45C5-906C-9803A9CFD396}" srcOrd="0" destOrd="0" presId="urn:microsoft.com/office/officeart/2008/layout/HorizontalMultiLevelHierarchy"/>
    <dgm:cxn modelId="{5000269C-6340-4EFB-88EB-5C561C27D0F1}" type="presOf" srcId="{6586C13A-0900-4A23-BA57-4EAC91609B1D}" destId="{D3448F3D-DAE8-4C7E-8398-A5D82FB062A2}" srcOrd="0" destOrd="0" presId="urn:microsoft.com/office/officeart/2008/layout/HorizontalMultiLevelHierarchy"/>
    <dgm:cxn modelId="{CE22CBAA-F76F-48BF-A245-CF85CE0DD573}" type="presOf" srcId="{6730A496-7ED8-49FD-ABCA-C03F2B8FB6E4}" destId="{71C1229A-2D50-4BF9-8D8A-F0A9C06C6DC9}" srcOrd="0" destOrd="0" presId="urn:microsoft.com/office/officeart/2008/layout/HorizontalMultiLevelHierarchy"/>
    <dgm:cxn modelId="{9B749DB2-39DC-45BD-B33F-C15B8D37F93D}" type="presOf" srcId="{9423A12A-D9C2-4D4F-9F89-BE81BA0C2B4B}" destId="{C58CBFC5-4CC2-4CFF-B74A-1141DD48050C}" srcOrd="0" destOrd="0" presId="urn:microsoft.com/office/officeart/2008/layout/HorizontalMultiLevelHierarchy"/>
    <dgm:cxn modelId="{06F72CC3-2F1F-49F7-85E5-AD26DEE141A1}" type="presOf" srcId="{FED5E2BD-F76C-416C-9531-A6B45BE2D225}" destId="{74E9CD2F-738B-417A-AD27-7C2390B10585}" srcOrd="0" destOrd="0" presId="urn:microsoft.com/office/officeart/2008/layout/HorizontalMultiLevelHierarchy"/>
    <dgm:cxn modelId="{0E4188C4-2A29-4D37-86D1-406543E47FCE}" type="presOf" srcId="{2EEE2DAD-673E-4B8B-A5B0-35770BA46B02}" destId="{CD5BD408-C13C-43CA-8B4F-0A6A48B96D9D}" srcOrd="1" destOrd="0" presId="urn:microsoft.com/office/officeart/2008/layout/HorizontalMultiLevelHierarchy"/>
    <dgm:cxn modelId="{DC8265D9-744D-4346-8792-04478FEAC6E2}" type="presOf" srcId="{CE085580-630A-4D6F-9DC1-5A7C8709581E}" destId="{7C275193-6FBD-4FC6-A34F-AE862BF2D55F}" srcOrd="0" destOrd="0" presId="urn:microsoft.com/office/officeart/2008/layout/HorizontalMultiLevelHierarchy"/>
    <dgm:cxn modelId="{5E85F9E9-4351-4B70-AA37-52600C885B53}" srcId="{6586C13A-0900-4A23-BA57-4EAC91609B1D}" destId="{FED5E2BD-F76C-416C-9531-A6B45BE2D225}" srcOrd="2" destOrd="0" parTransId="{CE085580-630A-4D6F-9DC1-5A7C8709581E}" sibTransId="{D71B5C7B-BDAE-4F49-912E-8213C6FBB185}"/>
    <dgm:cxn modelId="{72A7E4F3-7AB1-4243-B263-86376A04DA24}" type="presOf" srcId="{6CB421E9-7EAC-47FA-B196-8920BD9C869B}" destId="{42B47E04-59AA-4769-BF35-C9B3BAA4E085}" srcOrd="0" destOrd="0" presId="urn:microsoft.com/office/officeart/2008/layout/HorizontalMultiLevelHierarchy"/>
    <dgm:cxn modelId="{B6381FCC-18C9-4364-A151-F7E126CF0742}" type="presParOf" srcId="{DFE53BDD-2D6F-4C52-831E-1C12F604A1CB}" destId="{DA0BABAD-58C7-403E-8EAE-77EE37339F9A}" srcOrd="0" destOrd="0" presId="urn:microsoft.com/office/officeart/2008/layout/HorizontalMultiLevelHierarchy"/>
    <dgm:cxn modelId="{427C4D19-5F74-40E2-AF41-944FE9020BBC}" type="presParOf" srcId="{DA0BABAD-58C7-403E-8EAE-77EE37339F9A}" destId="{D3448F3D-DAE8-4C7E-8398-A5D82FB062A2}" srcOrd="0" destOrd="0" presId="urn:microsoft.com/office/officeart/2008/layout/HorizontalMultiLevelHierarchy"/>
    <dgm:cxn modelId="{A3F4DC04-24D4-429E-AE05-A519FD13A758}" type="presParOf" srcId="{DA0BABAD-58C7-403E-8EAE-77EE37339F9A}" destId="{9EE3B136-881D-44E2-86BF-AC8C987ACD5E}" srcOrd="1" destOrd="0" presId="urn:microsoft.com/office/officeart/2008/layout/HorizontalMultiLevelHierarchy"/>
    <dgm:cxn modelId="{BEB6A7F5-AD7E-4FAF-AC6B-9F28EFB3C4EE}" type="presParOf" srcId="{9EE3B136-881D-44E2-86BF-AC8C987ACD5E}" destId="{A8240512-3CF8-45C5-906C-9803A9CFD396}" srcOrd="0" destOrd="0" presId="urn:microsoft.com/office/officeart/2008/layout/HorizontalMultiLevelHierarchy"/>
    <dgm:cxn modelId="{09E47443-1ACB-4E1F-9256-373B83E9CD81}" type="presParOf" srcId="{A8240512-3CF8-45C5-906C-9803A9CFD396}" destId="{CD5BD408-C13C-43CA-8B4F-0A6A48B96D9D}" srcOrd="0" destOrd="0" presId="urn:microsoft.com/office/officeart/2008/layout/HorizontalMultiLevelHierarchy"/>
    <dgm:cxn modelId="{3DD4E623-B644-4DBE-BE7B-EFDD89D838C4}" type="presParOf" srcId="{9EE3B136-881D-44E2-86BF-AC8C987ACD5E}" destId="{22924209-955B-4453-80C2-E41BE42251F9}" srcOrd="1" destOrd="0" presId="urn:microsoft.com/office/officeart/2008/layout/HorizontalMultiLevelHierarchy"/>
    <dgm:cxn modelId="{453520C2-3C63-4622-8B13-36A365EA3425}" type="presParOf" srcId="{22924209-955B-4453-80C2-E41BE42251F9}" destId="{71C1229A-2D50-4BF9-8D8A-F0A9C06C6DC9}" srcOrd="0" destOrd="0" presId="urn:microsoft.com/office/officeart/2008/layout/HorizontalMultiLevelHierarchy"/>
    <dgm:cxn modelId="{A43AEEF4-155F-4147-8C5C-E34FB3E8AAF7}" type="presParOf" srcId="{22924209-955B-4453-80C2-E41BE42251F9}" destId="{3D2ECB45-8265-426C-AF0E-2DF87795F524}" srcOrd="1" destOrd="0" presId="urn:microsoft.com/office/officeart/2008/layout/HorizontalMultiLevelHierarchy"/>
    <dgm:cxn modelId="{2FBE59CF-5109-4867-AE9B-8399524A2697}" type="presParOf" srcId="{9EE3B136-881D-44E2-86BF-AC8C987ACD5E}" destId="{C58CBFC5-4CC2-4CFF-B74A-1141DD48050C}" srcOrd="2" destOrd="0" presId="urn:microsoft.com/office/officeart/2008/layout/HorizontalMultiLevelHierarchy"/>
    <dgm:cxn modelId="{A24B4ED4-6A24-44DD-99BC-37D16FE38F38}" type="presParOf" srcId="{C58CBFC5-4CC2-4CFF-B74A-1141DD48050C}" destId="{EEC5D840-030B-47DF-A887-F46A38485E02}" srcOrd="0" destOrd="0" presId="urn:microsoft.com/office/officeart/2008/layout/HorizontalMultiLevelHierarchy"/>
    <dgm:cxn modelId="{E49DDE65-A4B1-4DBE-82C5-A218A398212C}" type="presParOf" srcId="{9EE3B136-881D-44E2-86BF-AC8C987ACD5E}" destId="{E80C7019-6727-4420-9E27-E1E80B375252}" srcOrd="3" destOrd="0" presId="urn:microsoft.com/office/officeart/2008/layout/HorizontalMultiLevelHierarchy"/>
    <dgm:cxn modelId="{56307D4D-51AF-4383-A775-0B31AE7CBB83}" type="presParOf" srcId="{E80C7019-6727-4420-9E27-E1E80B375252}" destId="{42B47E04-59AA-4769-BF35-C9B3BAA4E085}" srcOrd="0" destOrd="0" presId="urn:microsoft.com/office/officeart/2008/layout/HorizontalMultiLevelHierarchy"/>
    <dgm:cxn modelId="{114E293F-0D38-42A2-AD6F-4F140A513565}" type="presParOf" srcId="{E80C7019-6727-4420-9E27-E1E80B375252}" destId="{8F79759E-11E2-40BA-8A49-51539D5BB29E}" srcOrd="1" destOrd="0" presId="urn:microsoft.com/office/officeart/2008/layout/HorizontalMultiLevelHierarchy"/>
    <dgm:cxn modelId="{DAA4D657-B6B7-44F4-96DE-9E60190146FD}" type="presParOf" srcId="{9EE3B136-881D-44E2-86BF-AC8C987ACD5E}" destId="{7C275193-6FBD-4FC6-A34F-AE862BF2D55F}" srcOrd="4" destOrd="0" presId="urn:microsoft.com/office/officeart/2008/layout/HorizontalMultiLevelHierarchy"/>
    <dgm:cxn modelId="{EAC69149-E37C-43E0-A13E-0828BE29E37A}" type="presParOf" srcId="{7C275193-6FBD-4FC6-A34F-AE862BF2D55F}" destId="{39A1C225-FBC1-450C-8559-C8D3173F8CB0}" srcOrd="0" destOrd="0" presId="urn:microsoft.com/office/officeart/2008/layout/HorizontalMultiLevelHierarchy"/>
    <dgm:cxn modelId="{219F35E1-3B4D-480C-956D-84BF6CD4CC85}" type="presParOf" srcId="{9EE3B136-881D-44E2-86BF-AC8C987ACD5E}" destId="{10CD4E0E-0A07-4B16-9C9A-5E600A5F3B86}" srcOrd="5" destOrd="0" presId="urn:microsoft.com/office/officeart/2008/layout/HorizontalMultiLevelHierarchy"/>
    <dgm:cxn modelId="{8D2FFD54-9476-4CB0-BF81-ACBEBFB2FEBA}" type="presParOf" srcId="{10CD4E0E-0A07-4B16-9C9A-5E600A5F3B86}" destId="{74E9CD2F-738B-417A-AD27-7C2390B10585}" srcOrd="0" destOrd="0" presId="urn:microsoft.com/office/officeart/2008/layout/HorizontalMultiLevelHierarchy"/>
    <dgm:cxn modelId="{68E5A3CB-6DBC-4C0A-8314-C57FEEA539C5}" type="presParOf" srcId="{10CD4E0E-0A07-4B16-9C9A-5E600A5F3B86}" destId="{CA0D1EBF-EB05-4990-87B9-A504F907199D}"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A4C9AA-1DCF-4401-B099-B3D296609A10}"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8DDF157A-4A7B-4D47-A9BD-004C5EB400A3}">
      <dgm:prSet phldrT="[Texte]"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6200000" scaled="1"/>
          <a:tileRect/>
        </a:gradFill>
      </dgm:spPr>
      <dgm:t>
        <a:bodyPr/>
        <a:lstStyle/>
        <a:p>
          <a:r>
            <a:rPr lang="ar-SA" sz="2400" dirty="0">
              <a:solidFill>
                <a:schemeClr val="tx1"/>
              </a:solidFill>
              <a:latin typeface="Arabic Typesetting" panose="03020402040406030203" pitchFamily="66" charset="-78"/>
              <a:cs typeface="Arabic Typesetting" panose="03020402040406030203" pitchFamily="66" charset="-78"/>
            </a:rPr>
            <a:t>حضارة النص</a:t>
          </a:r>
          <a:endParaRPr lang="fr-FR" sz="2400" dirty="0">
            <a:solidFill>
              <a:schemeClr val="tx1"/>
            </a:solidFill>
            <a:latin typeface="Arabic Typesetting" panose="03020402040406030203" pitchFamily="66" charset="-78"/>
            <a:cs typeface="Arabic Typesetting" panose="03020402040406030203" pitchFamily="66" charset="-78"/>
          </a:endParaRPr>
        </a:p>
      </dgm:t>
    </dgm:pt>
    <dgm:pt modelId="{72153266-338F-4471-9EAA-9ACEA56C0F53}" type="parTrans" cxnId="{D0DB7764-F606-4576-B7EE-8AB1DACEBFB7}">
      <dgm:prSet/>
      <dgm:spPr/>
      <dgm:t>
        <a:bodyPr/>
        <a:lstStyle/>
        <a:p>
          <a:endParaRPr lang="fr-FR" sz="2400">
            <a:solidFill>
              <a:schemeClr val="tx1"/>
            </a:solidFill>
          </a:endParaRPr>
        </a:p>
      </dgm:t>
    </dgm:pt>
    <dgm:pt modelId="{5AEC593A-64A4-42F8-89D3-33A226F5455B}" type="sibTrans" cxnId="{D0DB7764-F606-4576-B7EE-8AB1DACEBFB7}">
      <dgm:prSet/>
      <dgm:spPr/>
      <dgm:t>
        <a:bodyPr/>
        <a:lstStyle/>
        <a:p>
          <a:endParaRPr lang="fr-FR" sz="2400">
            <a:solidFill>
              <a:schemeClr val="tx1"/>
            </a:solidFill>
          </a:endParaRPr>
        </a:p>
      </dgm:t>
    </dgm:pt>
    <dgm:pt modelId="{4D35A9D3-F43E-4D99-BEC1-613C9F8C0D9B}">
      <dgm:prSet phldrT="[Texte]" custT="1"/>
      <dgm:spPr>
        <a:blipFill rotWithShape="0">
          <a:blip xmlns:r="http://schemas.openxmlformats.org/officeDocument/2006/relationships" r:embed="rId1"/>
          <a:tile tx="0" ty="0" sx="100000" sy="100000" flip="none" algn="tl"/>
        </a:blipFill>
      </dgm:spPr>
      <dgm:t>
        <a:bodyPr/>
        <a:lstStyle/>
        <a:p>
          <a:r>
            <a:rPr lang="ar-SA" sz="2400" dirty="0">
              <a:solidFill>
                <a:schemeClr val="tx1"/>
              </a:solidFill>
              <a:latin typeface="Arabic Typesetting" panose="03020402040406030203" pitchFamily="66" charset="-78"/>
              <a:cs typeface="Arabic Typesetting" panose="03020402040406030203" pitchFamily="66" charset="-78"/>
            </a:rPr>
            <a:t>العقل المعماري </a:t>
          </a:r>
          <a:endParaRPr lang="fr-FR" sz="2400" dirty="0">
            <a:solidFill>
              <a:schemeClr val="tx1"/>
            </a:solidFill>
            <a:latin typeface="Arabic Typesetting" panose="03020402040406030203" pitchFamily="66" charset="-78"/>
            <a:cs typeface="Arabic Typesetting" panose="03020402040406030203" pitchFamily="66" charset="-78"/>
          </a:endParaRPr>
        </a:p>
      </dgm:t>
    </dgm:pt>
    <dgm:pt modelId="{4683A2F6-008D-4739-8475-394988620F68}" type="parTrans" cxnId="{D6A5CC6C-9665-477A-877B-9DA0959ECBA8}">
      <dgm:prSet custT="1"/>
      <dgm:spPr/>
      <dgm:t>
        <a:bodyPr/>
        <a:lstStyle/>
        <a:p>
          <a:endParaRPr lang="fr-FR" sz="2400">
            <a:solidFill>
              <a:schemeClr val="tx1"/>
            </a:solidFill>
          </a:endParaRPr>
        </a:p>
      </dgm:t>
    </dgm:pt>
    <dgm:pt modelId="{20324D29-AA4F-43DD-BB54-D1556E67101A}" type="sibTrans" cxnId="{D6A5CC6C-9665-477A-877B-9DA0959ECBA8}">
      <dgm:prSet/>
      <dgm:spPr/>
      <dgm:t>
        <a:bodyPr/>
        <a:lstStyle/>
        <a:p>
          <a:endParaRPr lang="fr-FR" sz="2400">
            <a:solidFill>
              <a:schemeClr val="tx1"/>
            </a:solidFill>
          </a:endParaRPr>
        </a:p>
      </dgm:t>
    </dgm:pt>
    <dgm:pt modelId="{95273DBF-EAAE-41E0-9A28-A66224EC5B19}">
      <dgm:prSet phldrT="[Texte]" custT="1"/>
      <dgm:spPr>
        <a:blipFill rotWithShape="0">
          <a:blip xmlns:r="http://schemas.openxmlformats.org/officeDocument/2006/relationships" r:embed="rId2"/>
          <a:tile tx="0" ty="0" sx="100000" sy="100000" flip="none" algn="tl"/>
        </a:blipFill>
      </dgm:spPr>
      <dgm:t>
        <a:bodyPr/>
        <a:lstStyle/>
        <a:p>
          <a:r>
            <a:rPr lang="ar-SA" sz="2400" dirty="0">
              <a:solidFill>
                <a:schemeClr val="tx1"/>
              </a:solidFill>
              <a:latin typeface="Arabic Typesetting" panose="03020402040406030203" pitchFamily="66" charset="-78"/>
              <a:cs typeface="Arabic Typesetting" panose="03020402040406030203" pitchFamily="66" charset="-78"/>
            </a:rPr>
            <a:t>نظام</a:t>
          </a:r>
          <a:endParaRPr lang="fr-FR" sz="2400" dirty="0">
            <a:solidFill>
              <a:schemeClr val="tx1"/>
            </a:solidFill>
            <a:latin typeface="Arabic Typesetting" panose="03020402040406030203" pitchFamily="66" charset="-78"/>
            <a:cs typeface="Arabic Typesetting" panose="03020402040406030203" pitchFamily="66" charset="-78"/>
          </a:endParaRPr>
        </a:p>
      </dgm:t>
    </dgm:pt>
    <dgm:pt modelId="{B2DEA9F0-A453-4B29-9B04-A837EAA514A1}" type="parTrans" cxnId="{685FAC26-CEFC-4FA8-ACAF-F3F2A29C54F6}">
      <dgm:prSet custT="1"/>
      <dgm:spPr/>
      <dgm:t>
        <a:bodyPr/>
        <a:lstStyle/>
        <a:p>
          <a:endParaRPr lang="fr-FR" sz="2400">
            <a:solidFill>
              <a:schemeClr val="tx1"/>
            </a:solidFill>
          </a:endParaRPr>
        </a:p>
      </dgm:t>
    </dgm:pt>
    <dgm:pt modelId="{079C563E-4909-428A-8968-8471A661FAB9}" type="sibTrans" cxnId="{685FAC26-CEFC-4FA8-ACAF-F3F2A29C54F6}">
      <dgm:prSet/>
      <dgm:spPr/>
      <dgm:t>
        <a:bodyPr/>
        <a:lstStyle/>
        <a:p>
          <a:endParaRPr lang="fr-FR" sz="2400">
            <a:solidFill>
              <a:schemeClr val="tx1"/>
            </a:solidFill>
          </a:endParaRPr>
        </a:p>
      </dgm:t>
    </dgm:pt>
    <dgm:pt modelId="{88BEEC76-0E9B-495D-8F56-AA888C47BFFA}">
      <dgm:prSet phldrT="[Texte]" custT="1"/>
      <dgm:spPr>
        <a:blipFill rotWithShape="0">
          <a:blip xmlns:r="http://schemas.openxmlformats.org/officeDocument/2006/relationships" r:embed="rId3"/>
          <a:tile tx="0" ty="0" sx="100000" sy="100000" flip="none" algn="tl"/>
        </a:blipFill>
      </dgm:spPr>
      <dgm:t>
        <a:bodyPr/>
        <a:lstStyle/>
        <a:p>
          <a:r>
            <a:rPr lang="ar-SA" sz="2400" dirty="0">
              <a:solidFill>
                <a:schemeClr val="tx1"/>
              </a:solidFill>
              <a:latin typeface="Arabic Typesetting" panose="03020402040406030203" pitchFamily="66" charset="-78"/>
              <a:cs typeface="Arabic Typesetting" panose="03020402040406030203" pitchFamily="66" charset="-78"/>
            </a:rPr>
            <a:t>التراث اللغوي العربي</a:t>
          </a:r>
          <a:endParaRPr lang="fr-FR" sz="2400" dirty="0">
            <a:solidFill>
              <a:schemeClr val="tx1"/>
            </a:solidFill>
            <a:latin typeface="Arabic Typesetting" panose="03020402040406030203" pitchFamily="66" charset="-78"/>
            <a:cs typeface="Arabic Typesetting" panose="03020402040406030203" pitchFamily="66" charset="-78"/>
          </a:endParaRPr>
        </a:p>
      </dgm:t>
    </dgm:pt>
    <dgm:pt modelId="{8694228A-2BA6-4804-8942-2A9E0E1B918D}" type="parTrans" cxnId="{1286248D-7656-4C8B-A20C-8729FA6A3038}">
      <dgm:prSet custT="1"/>
      <dgm:spPr/>
      <dgm:t>
        <a:bodyPr/>
        <a:lstStyle/>
        <a:p>
          <a:endParaRPr lang="fr-FR" sz="2400">
            <a:solidFill>
              <a:schemeClr val="tx1"/>
            </a:solidFill>
          </a:endParaRPr>
        </a:p>
      </dgm:t>
    </dgm:pt>
    <dgm:pt modelId="{ADD57230-A800-4753-89A0-CF8C16BD256A}" type="sibTrans" cxnId="{1286248D-7656-4C8B-A20C-8729FA6A3038}">
      <dgm:prSet/>
      <dgm:spPr/>
      <dgm:t>
        <a:bodyPr/>
        <a:lstStyle/>
        <a:p>
          <a:endParaRPr lang="fr-FR" sz="2400">
            <a:solidFill>
              <a:schemeClr val="tx1"/>
            </a:solidFill>
          </a:endParaRPr>
        </a:p>
      </dgm:t>
    </dgm:pt>
    <dgm:pt modelId="{D066DE0B-93B4-43A8-8300-E759E9ED3485}">
      <dgm:prSet phldrT="[Texte]" custT="1"/>
      <dgm:spPr>
        <a:blipFill rotWithShape="0">
          <a:blip xmlns:r="http://schemas.openxmlformats.org/officeDocument/2006/relationships" r:embed="rId4"/>
          <a:tile tx="0" ty="0" sx="100000" sy="100000" flip="none" algn="tl"/>
        </a:blipFill>
      </dgm:spPr>
      <dgm:t>
        <a:bodyPr/>
        <a:lstStyle/>
        <a:p>
          <a:r>
            <a:rPr lang="ar-SA" sz="2400" dirty="0">
              <a:solidFill>
                <a:schemeClr val="tx1"/>
              </a:solidFill>
              <a:latin typeface="Arabic Typesetting" panose="03020402040406030203" pitchFamily="66" charset="-78"/>
              <a:cs typeface="Arabic Typesetting" panose="03020402040406030203" pitchFamily="66" charset="-78"/>
            </a:rPr>
            <a:t>البيئة الثقافية</a:t>
          </a:r>
          <a:endParaRPr lang="fr-FR" sz="2400" dirty="0">
            <a:solidFill>
              <a:schemeClr val="tx1"/>
            </a:solidFill>
            <a:latin typeface="Arabic Typesetting" panose="03020402040406030203" pitchFamily="66" charset="-78"/>
            <a:cs typeface="Arabic Typesetting" panose="03020402040406030203" pitchFamily="66" charset="-78"/>
          </a:endParaRPr>
        </a:p>
      </dgm:t>
    </dgm:pt>
    <dgm:pt modelId="{4C74EA58-E631-45CB-9889-1DD416974EC3}" type="parTrans" cxnId="{78B71429-3132-41ED-BD1B-7C82BE946B06}">
      <dgm:prSet custT="1"/>
      <dgm:spPr/>
      <dgm:t>
        <a:bodyPr/>
        <a:lstStyle/>
        <a:p>
          <a:endParaRPr lang="fr-FR" sz="2400">
            <a:solidFill>
              <a:schemeClr val="tx1"/>
            </a:solidFill>
          </a:endParaRPr>
        </a:p>
      </dgm:t>
    </dgm:pt>
    <dgm:pt modelId="{4F6774DB-740B-4010-8003-CA35D8539D1F}" type="sibTrans" cxnId="{78B71429-3132-41ED-BD1B-7C82BE946B06}">
      <dgm:prSet/>
      <dgm:spPr/>
      <dgm:t>
        <a:bodyPr/>
        <a:lstStyle/>
        <a:p>
          <a:endParaRPr lang="fr-FR" sz="2400">
            <a:solidFill>
              <a:schemeClr val="tx1"/>
            </a:solidFill>
          </a:endParaRPr>
        </a:p>
      </dgm:t>
    </dgm:pt>
    <dgm:pt modelId="{C215DFCB-B207-4F23-B89C-CD21243863F1}" type="pres">
      <dgm:prSet presAssocID="{2BA4C9AA-1DCF-4401-B099-B3D296609A10}" presName="diagram" presStyleCnt="0">
        <dgm:presLayoutVars>
          <dgm:chPref val="1"/>
          <dgm:dir/>
          <dgm:animOne val="branch"/>
          <dgm:animLvl val="lvl"/>
          <dgm:resizeHandles val="exact"/>
        </dgm:presLayoutVars>
      </dgm:prSet>
      <dgm:spPr/>
    </dgm:pt>
    <dgm:pt modelId="{DBDC74F5-C4FA-4720-BC04-4495B11512F0}" type="pres">
      <dgm:prSet presAssocID="{8DDF157A-4A7B-4D47-A9BD-004C5EB400A3}" presName="root1" presStyleCnt="0"/>
      <dgm:spPr/>
    </dgm:pt>
    <dgm:pt modelId="{60F635A7-42E5-464E-BB3A-2A0F17EBA755}" type="pres">
      <dgm:prSet presAssocID="{8DDF157A-4A7B-4D47-A9BD-004C5EB400A3}" presName="LevelOneTextNode" presStyleLbl="node0" presStyleIdx="0" presStyleCnt="1">
        <dgm:presLayoutVars>
          <dgm:chPref val="3"/>
        </dgm:presLayoutVars>
      </dgm:prSet>
      <dgm:spPr/>
    </dgm:pt>
    <dgm:pt modelId="{51E4A932-76A1-499E-9975-548BC46FAE3E}" type="pres">
      <dgm:prSet presAssocID="{8DDF157A-4A7B-4D47-A9BD-004C5EB400A3}" presName="level2hierChild" presStyleCnt="0"/>
      <dgm:spPr/>
    </dgm:pt>
    <dgm:pt modelId="{36189270-F169-42B0-8B97-B20654FB4C7E}" type="pres">
      <dgm:prSet presAssocID="{4683A2F6-008D-4739-8475-394988620F68}" presName="conn2-1" presStyleLbl="parChTrans1D2" presStyleIdx="0" presStyleCnt="2"/>
      <dgm:spPr/>
    </dgm:pt>
    <dgm:pt modelId="{5692BA26-3061-46FB-9E3E-B93DD3D79031}" type="pres">
      <dgm:prSet presAssocID="{4683A2F6-008D-4739-8475-394988620F68}" presName="connTx" presStyleLbl="parChTrans1D2" presStyleIdx="0" presStyleCnt="2"/>
      <dgm:spPr/>
    </dgm:pt>
    <dgm:pt modelId="{215EE47A-17C3-46D7-B187-A16A3F004715}" type="pres">
      <dgm:prSet presAssocID="{4D35A9D3-F43E-4D99-BEC1-613C9F8C0D9B}" presName="root2" presStyleCnt="0"/>
      <dgm:spPr/>
    </dgm:pt>
    <dgm:pt modelId="{2E2BBF22-2D8A-45B1-B86A-D26EAE0464F1}" type="pres">
      <dgm:prSet presAssocID="{4D35A9D3-F43E-4D99-BEC1-613C9F8C0D9B}" presName="LevelTwoTextNode" presStyleLbl="node2" presStyleIdx="0" presStyleCnt="2" custScaleX="133647">
        <dgm:presLayoutVars>
          <dgm:chPref val="3"/>
        </dgm:presLayoutVars>
      </dgm:prSet>
      <dgm:spPr/>
    </dgm:pt>
    <dgm:pt modelId="{D707D753-A838-46CA-930B-1AA521A03F63}" type="pres">
      <dgm:prSet presAssocID="{4D35A9D3-F43E-4D99-BEC1-613C9F8C0D9B}" presName="level3hierChild" presStyleCnt="0"/>
      <dgm:spPr/>
    </dgm:pt>
    <dgm:pt modelId="{C96EDA02-0587-4389-876E-F14F3FA5B105}" type="pres">
      <dgm:prSet presAssocID="{B2DEA9F0-A453-4B29-9B04-A837EAA514A1}" presName="conn2-1" presStyleLbl="parChTrans1D3" presStyleIdx="0" presStyleCnt="2"/>
      <dgm:spPr/>
    </dgm:pt>
    <dgm:pt modelId="{A11D076F-B91D-408E-A60A-22C10024D691}" type="pres">
      <dgm:prSet presAssocID="{B2DEA9F0-A453-4B29-9B04-A837EAA514A1}" presName="connTx" presStyleLbl="parChTrans1D3" presStyleIdx="0" presStyleCnt="2"/>
      <dgm:spPr/>
    </dgm:pt>
    <dgm:pt modelId="{4F6C05BE-F21A-4F70-80DE-1336D1584EB4}" type="pres">
      <dgm:prSet presAssocID="{95273DBF-EAAE-41E0-9A28-A66224EC5B19}" presName="root2" presStyleCnt="0"/>
      <dgm:spPr/>
    </dgm:pt>
    <dgm:pt modelId="{619716EE-3D1A-4A6F-9F65-F6B099F4D6F4}" type="pres">
      <dgm:prSet presAssocID="{95273DBF-EAAE-41E0-9A28-A66224EC5B19}" presName="LevelTwoTextNode" presStyleLbl="node3" presStyleIdx="0" presStyleCnt="2">
        <dgm:presLayoutVars>
          <dgm:chPref val="3"/>
        </dgm:presLayoutVars>
      </dgm:prSet>
      <dgm:spPr/>
    </dgm:pt>
    <dgm:pt modelId="{F85F3CCF-5899-4A91-87A7-7E849DEAAAA8}" type="pres">
      <dgm:prSet presAssocID="{95273DBF-EAAE-41E0-9A28-A66224EC5B19}" presName="level3hierChild" presStyleCnt="0"/>
      <dgm:spPr/>
    </dgm:pt>
    <dgm:pt modelId="{9E879A5B-3163-46B8-8CB1-2C46BC59CC4D}" type="pres">
      <dgm:prSet presAssocID="{8694228A-2BA6-4804-8942-2A9E0E1B918D}" presName="conn2-1" presStyleLbl="parChTrans1D2" presStyleIdx="1" presStyleCnt="2"/>
      <dgm:spPr/>
    </dgm:pt>
    <dgm:pt modelId="{0562778B-CEB0-4765-B8AC-F46E5E5DBBD5}" type="pres">
      <dgm:prSet presAssocID="{8694228A-2BA6-4804-8942-2A9E0E1B918D}" presName="connTx" presStyleLbl="parChTrans1D2" presStyleIdx="1" presStyleCnt="2"/>
      <dgm:spPr/>
    </dgm:pt>
    <dgm:pt modelId="{A8717298-2AB8-4A7B-A26E-75EBF2E42877}" type="pres">
      <dgm:prSet presAssocID="{88BEEC76-0E9B-495D-8F56-AA888C47BFFA}" presName="root2" presStyleCnt="0"/>
      <dgm:spPr/>
    </dgm:pt>
    <dgm:pt modelId="{E0BAABE3-8D44-4E95-AF58-D3E01DBF9019}" type="pres">
      <dgm:prSet presAssocID="{88BEEC76-0E9B-495D-8F56-AA888C47BFFA}" presName="LevelTwoTextNode" presStyleLbl="node2" presStyleIdx="1" presStyleCnt="2" custScaleX="157651">
        <dgm:presLayoutVars>
          <dgm:chPref val="3"/>
        </dgm:presLayoutVars>
      </dgm:prSet>
      <dgm:spPr/>
    </dgm:pt>
    <dgm:pt modelId="{0E05F1D6-C20F-41FB-8077-E7EA7BF63369}" type="pres">
      <dgm:prSet presAssocID="{88BEEC76-0E9B-495D-8F56-AA888C47BFFA}" presName="level3hierChild" presStyleCnt="0"/>
      <dgm:spPr/>
    </dgm:pt>
    <dgm:pt modelId="{270CE3EC-FC91-40AB-9842-AE881B7F5C2A}" type="pres">
      <dgm:prSet presAssocID="{4C74EA58-E631-45CB-9889-1DD416974EC3}" presName="conn2-1" presStyleLbl="parChTrans1D3" presStyleIdx="1" presStyleCnt="2"/>
      <dgm:spPr/>
    </dgm:pt>
    <dgm:pt modelId="{852720F0-B7BB-4978-B137-E20C07401143}" type="pres">
      <dgm:prSet presAssocID="{4C74EA58-E631-45CB-9889-1DD416974EC3}" presName="connTx" presStyleLbl="parChTrans1D3" presStyleIdx="1" presStyleCnt="2"/>
      <dgm:spPr/>
    </dgm:pt>
    <dgm:pt modelId="{55D6D05E-9090-433B-90AC-5BB7BA3F69B9}" type="pres">
      <dgm:prSet presAssocID="{D066DE0B-93B4-43A8-8300-E759E9ED3485}" presName="root2" presStyleCnt="0"/>
      <dgm:spPr/>
    </dgm:pt>
    <dgm:pt modelId="{FD900754-F6AB-4DED-AB08-BFF6838246DD}" type="pres">
      <dgm:prSet presAssocID="{D066DE0B-93B4-43A8-8300-E759E9ED3485}" presName="LevelTwoTextNode" presStyleLbl="node3" presStyleIdx="1" presStyleCnt="2" custLinFactNeighborX="-10340" custLinFactNeighborY="587">
        <dgm:presLayoutVars>
          <dgm:chPref val="3"/>
        </dgm:presLayoutVars>
      </dgm:prSet>
      <dgm:spPr/>
    </dgm:pt>
    <dgm:pt modelId="{47DAFFE7-BB61-42F0-978D-ABDC2EC5D3CC}" type="pres">
      <dgm:prSet presAssocID="{D066DE0B-93B4-43A8-8300-E759E9ED3485}" presName="level3hierChild" presStyleCnt="0"/>
      <dgm:spPr/>
    </dgm:pt>
  </dgm:ptLst>
  <dgm:cxnLst>
    <dgm:cxn modelId="{68E1020D-DFA6-48FC-B3F2-39135EB44105}" type="presOf" srcId="{4683A2F6-008D-4739-8475-394988620F68}" destId="{5692BA26-3061-46FB-9E3E-B93DD3D79031}" srcOrd="1" destOrd="0" presId="urn:microsoft.com/office/officeart/2005/8/layout/hierarchy2"/>
    <dgm:cxn modelId="{7D2F980F-FC87-4A14-94A8-F410B59D8599}" type="presOf" srcId="{4683A2F6-008D-4739-8475-394988620F68}" destId="{36189270-F169-42B0-8B97-B20654FB4C7E}" srcOrd="0" destOrd="0" presId="urn:microsoft.com/office/officeart/2005/8/layout/hierarchy2"/>
    <dgm:cxn modelId="{685FAC26-CEFC-4FA8-ACAF-F3F2A29C54F6}" srcId="{4D35A9D3-F43E-4D99-BEC1-613C9F8C0D9B}" destId="{95273DBF-EAAE-41E0-9A28-A66224EC5B19}" srcOrd="0" destOrd="0" parTransId="{B2DEA9F0-A453-4B29-9B04-A837EAA514A1}" sibTransId="{079C563E-4909-428A-8968-8471A661FAB9}"/>
    <dgm:cxn modelId="{78B71429-3132-41ED-BD1B-7C82BE946B06}" srcId="{88BEEC76-0E9B-495D-8F56-AA888C47BFFA}" destId="{D066DE0B-93B4-43A8-8300-E759E9ED3485}" srcOrd="0" destOrd="0" parTransId="{4C74EA58-E631-45CB-9889-1DD416974EC3}" sibTransId="{4F6774DB-740B-4010-8003-CA35D8539D1F}"/>
    <dgm:cxn modelId="{2477A52A-587C-436F-9D79-7E36A6972BDB}" type="presOf" srcId="{8694228A-2BA6-4804-8942-2A9E0E1B918D}" destId="{9E879A5B-3163-46B8-8CB1-2C46BC59CC4D}" srcOrd="0" destOrd="0" presId="urn:microsoft.com/office/officeart/2005/8/layout/hierarchy2"/>
    <dgm:cxn modelId="{8875A236-6641-4C55-8E45-A2ACE18DD960}" type="presOf" srcId="{4D35A9D3-F43E-4D99-BEC1-613C9F8C0D9B}" destId="{2E2BBF22-2D8A-45B1-B86A-D26EAE0464F1}" srcOrd="0" destOrd="0" presId="urn:microsoft.com/office/officeart/2005/8/layout/hierarchy2"/>
    <dgm:cxn modelId="{FBA5E261-8839-4B6E-93A6-F5B880250AE1}" type="presOf" srcId="{2BA4C9AA-1DCF-4401-B099-B3D296609A10}" destId="{C215DFCB-B207-4F23-B89C-CD21243863F1}" srcOrd="0" destOrd="0" presId="urn:microsoft.com/office/officeart/2005/8/layout/hierarchy2"/>
    <dgm:cxn modelId="{D0DB7764-F606-4576-B7EE-8AB1DACEBFB7}" srcId="{2BA4C9AA-1DCF-4401-B099-B3D296609A10}" destId="{8DDF157A-4A7B-4D47-A9BD-004C5EB400A3}" srcOrd="0" destOrd="0" parTransId="{72153266-338F-4471-9EAA-9ACEA56C0F53}" sibTransId="{5AEC593A-64A4-42F8-89D3-33A226F5455B}"/>
    <dgm:cxn modelId="{D6A5CC6C-9665-477A-877B-9DA0959ECBA8}" srcId="{8DDF157A-4A7B-4D47-A9BD-004C5EB400A3}" destId="{4D35A9D3-F43E-4D99-BEC1-613C9F8C0D9B}" srcOrd="0" destOrd="0" parTransId="{4683A2F6-008D-4739-8475-394988620F68}" sibTransId="{20324D29-AA4F-43DD-BB54-D1556E67101A}"/>
    <dgm:cxn modelId="{B4DB644F-19E6-454E-A2DC-8E93E3156A74}" type="presOf" srcId="{B2DEA9F0-A453-4B29-9B04-A837EAA514A1}" destId="{A11D076F-B91D-408E-A60A-22C10024D691}" srcOrd="1" destOrd="0" presId="urn:microsoft.com/office/officeart/2005/8/layout/hierarchy2"/>
    <dgm:cxn modelId="{5EB67C71-8D9C-43F1-99CF-D3FAEF36C553}" type="presOf" srcId="{88BEEC76-0E9B-495D-8F56-AA888C47BFFA}" destId="{E0BAABE3-8D44-4E95-AF58-D3E01DBF9019}" srcOrd="0" destOrd="0" presId="urn:microsoft.com/office/officeart/2005/8/layout/hierarchy2"/>
    <dgm:cxn modelId="{AD6C1D7E-3CFE-4C22-B9FC-CE2E518945D4}" type="presOf" srcId="{B2DEA9F0-A453-4B29-9B04-A837EAA514A1}" destId="{C96EDA02-0587-4389-876E-F14F3FA5B105}" srcOrd="0" destOrd="0" presId="urn:microsoft.com/office/officeart/2005/8/layout/hierarchy2"/>
    <dgm:cxn modelId="{1286248D-7656-4C8B-A20C-8729FA6A3038}" srcId="{8DDF157A-4A7B-4D47-A9BD-004C5EB400A3}" destId="{88BEEC76-0E9B-495D-8F56-AA888C47BFFA}" srcOrd="1" destOrd="0" parTransId="{8694228A-2BA6-4804-8942-2A9E0E1B918D}" sibTransId="{ADD57230-A800-4753-89A0-CF8C16BD256A}"/>
    <dgm:cxn modelId="{756285A1-40A7-416E-9A00-9860520DD17B}" type="presOf" srcId="{4C74EA58-E631-45CB-9889-1DD416974EC3}" destId="{270CE3EC-FC91-40AB-9842-AE881B7F5C2A}" srcOrd="0" destOrd="0" presId="urn:microsoft.com/office/officeart/2005/8/layout/hierarchy2"/>
    <dgm:cxn modelId="{FE21FEA5-0FBE-456F-9EFD-CF2FD33549AB}" type="presOf" srcId="{8DDF157A-4A7B-4D47-A9BD-004C5EB400A3}" destId="{60F635A7-42E5-464E-BB3A-2A0F17EBA755}" srcOrd="0" destOrd="0" presId="urn:microsoft.com/office/officeart/2005/8/layout/hierarchy2"/>
    <dgm:cxn modelId="{131A46BD-F8DA-4D85-9154-25D00D734A0C}" type="presOf" srcId="{4C74EA58-E631-45CB-9889-1DD416974EC3}" destId="{852720F0-B7BB-4978-B137-E20C07401143}" srcOrd="1" destOrd="0" presId="urn:microsoft.com/office/officeart/2005/8/layout/hierarchy2"/>
    <dgm:cxn modelId="{E98491D0-CE3E-4B82-A76B-C1F5C769E261}" type="presOf" srcId="{D066DE0B-93B4-43A8-8300-E759E9ED3485}" destId="{FD900754-F6AB-4DED-AB08-BFF6838246DD}" srcOrd="0" destOrd="0" presId="urn:microsoft.com/office/officeart/2005/8/layout/hierarchy2"/>
    <dgm:cxn modelId="{38CB60D9-F3BA-4071-9214-0E1E91C0931F}" type="presOf" srcId="{95273DBF-EAAE-41E0-9A28-A66224EC5B19}" destId="{619716EE-3D1A-4A6F-9F65-F6B099F4D6F4}" srcOrd="0" destOrd="0" presId="urn:microsoft.com/office/officeart/2005/8/layout/hierarchy2"/>
    <dgm:cxn modelId="{1895CDFE-FEF5-4128-BDE1-102E09CC1421}" type="presOf" srcId="{8694228A-2BA6-4804-8942-2A9E0E1B918D}" destId="{0562778B-CEB0-4765-B8AC-F46E5E5DBBD5}" srcOrd="1" destOrd="0" presId="urn:microsoft.com/office/officeart/2005/8/layout/hierarchy2"/>
    <dgm:cxn modelId="{1965A261-BC6D-43C9-BFD9-3887E302B21F}" type="presParOf" srcId="{C215DFCB-B207-4F23-B89C-CD21243863F1}" destId="{DBDC74F5-C4FA-4720-BC04-4495B11512F0}" srcOrd="0" destOrd="0" presId="urn:microsoft.com/office/officeart/2005/8/layout/hierarchy2"/>
    <dgm:cxn modelId="{0B3BA859-1BE0-4D88-9131-ACF1F3CA1656}" type="presParOf" srcId="{DBDC74F5-C4FA-4720-BC04-4495B11512F0}" destId="{60F635A7-42E5-464E-BB3A-2A0F17EBA755}" srcOrd="0" destOrd="0" presId="urn:microsoft.com/office/officeart/2005/8/layout/hierarchy2"/>
    <dgm:cxn modelId="{8EBD1EA7-44F6-4501-AD4E-9CF47C49C3B6}" type="presParOf" srcId="{DBDC74F5-C4FA-4720-BC04-4495B11512F0}" destId="{51E4A932-76A1-499E-9975-548BC46FAE3E}" srcOrd="1" destOrd="0" presId="urn:microsoft.com/office/officeart/2005/8/layout/hierarchy2"/>
    <dgm:cxn modelId="{29237BAE-D7B9-42E1-AC38-F04751CA0FAC}" type="presParOf" srcId="{51E4A932-76A1-499E-9975-548BC46FAE3E}" destId="{36189270-F169-42B0-8B97-B20654FB4C7E}" srcOrd="0" destOrd="0" presId="urn:microsoft.com/office/officeart/2005/8/layout/hierarchy2"/>
    <dgm:cxn modelId="{D0DCE0AA-39C0-49DD-8309-6212C96F11CD}" type="presParOf" srcId="{36189270-F169-42B0-8B97-B20654FB4C7E}" destId="{5692BA26-3061-46FB-9E3E-B93DD3D79031}" srcOrd="0" destOrd="0" presId="urn:microsoft.com/office/officeart/2005/8/layout/hierarchy2"/>
    <dgm:cxn modelId="{707BA4E0-9E7E-4FB2-9BAC-B147AFB41CDF}" type="presParOf" srcId="{51E4A932-76A1-499E-9975-548BC46FAE3E}" destId="{215EE47A-17C3-46D7-B187-A16A3F004715}" srcOrd="1" destOrd="0" presId="urn:microsoft.com/office/officeart/2005/8/layout/hierarchy2"/>
    <dgm:cxn modelId="{EDB1EC2B-9141-47BA-983E-AC34BADC92C0}" type="presParOf" srcId="{215EE47A-17C3-46D7-B187-A16A3F004715}" destId="{2E2BBF22-2D8A-45B1-B86A-D26EAE0464F1}" srcOrd="0" destOrd="0" presId="urn:microsoft.com/office/officeart/2005/8/layout/hierarchy2"/>
    <dgm:cxn modelId="{37D22727-6969-40F5-A0B9-3E989370C994}" type="presParOf" srcId="{215EE47A-17C3-46D7-B187-A16A3F004715}" destId="{D707D753-A838-46CA-930B-1AA521A03F63}" srcOrd="1" destOrd="0" presId="urn:microsoft.com/office/officeart/2005/8/layout/hierarchy2"/>
    <dgm:cxn modelId="{BC069FE9-6BD2-4729-8F04-60AD4DC7321A}" type="presParOf" srcId="{D707D753-A838-46CA-930B-1AA521A03F63}" destId="{C96EDA02-0587-4389-876E-F14F3FA5B105}" srcOrd="0" destOrd="0" presId="urn:microsoft.com/office/officeart/2005/8/layout/hierarchy2"/>
    <dgm:cxn modelId="{C019A1C3-8AAE-4289-AD8C-32299436CAC8}" type="presParOf" srcId="{C96EDA02-0587-4389-876E-F14F3FA5B105}" destId="{A11D076F-B91D-408E-A60A-22C10024D691}" srcOrd="0" destOrd="0" presId="urn:microsoft.com/office/officeart/2005/8/layout/hierarchy2"/>
    <dgm:cxn modelId="{2390C30A-FCA0-434C-8F3F-114FC5E60566}" type="presParOf" srcId="{D707D753-A838-46CA-930B-1AA521A03F63}" destId="{4F6C05BE-F21A-4F70-80DE-1336D1584EB4}" srcOrd="1" destOrd="0" presId="urn:microsoft.com/office/officeart/2005/8/layout/hierarchy2"/>
    <dgm:cxn modelId="{D087B5FB-2BE1-4AC9-BADD-4DB712DA0296}" type="presParOf" srcId="{4F6C05BE-F21A-4F70-80DE-1336D1584EB4}" destId="{619716EE-3D1A-4A6F-9F65-F6B099F4D6F4}" srcOrd="0" destOrd="0" presId="urn:microsoft.com/office/officeart/2005/8/layout/hierarchy2"/>
    <dgm:cxn modelId="{C9DD0010-D6C6-4628-99F6-064FE583119E}" type="presParOf" srcId="{4F6C05BE-F21A-4F70-80DE-1336D1584EB4}" destId="{F85F3CCF-5899-4A91-87A7-7E849DEAAAA8}" srcOrd="1" destOrd="0" presId="urn:microsoft.com/office/officeart/2005/8/layout/hierarchy2"/>
    <dgm:cxn modelId="{DBA3C5DD-E3F0-489B-B88F-11B2C8BF12A8}" type="presParOf" srcId="{51E4A932-76A1-499E-9975-548BC46FAE3E}" destId="{9E879A5B-3163-46B8-8CB1-2C46BC59CC4D}" srcOrd="2" destOrd="0" presId="urn:microsoft.com/office/officeart/2005/8/layout/hierarchy2"/>
    <dgm:cxn modelId="{46CA8A3B-D812-4552-894E-5EDAD670428E}" type="presParOf" srcId="{9E879A5B-3163-46B8-8CB1-2C46BC59CC4D}" destId="{0562778B-CEB0-4765-B8AC-F46E5E5DBBD5}" srcOrd="0" destOrd="0" presId="urn:microsoft.com/office/officeart/2005/8/layout/hierarchy2"/>
    <dgm:cxn modelId="{B928D991-CC3E-4285-821D-CEF03DA3C9F7}" type="presParOf" srcId="{51E4A932-76A1-499E-9975-548BC46FAE3E}" destId="{A8717298-2AB8-4A7B-A26E-75EBF2E42877}" srcOrd="3" destOrd="0" presId="urn:microsoft.com/office/officeart/2005/8/layout/hierarchy2"/>
    <dgm:cxn modelId="{A3786DE4-2F21-4FD5-A63B-9DD7B7D5CDBA}" type="presParOf" srcId="{A8717298-2AB8-4A7B-A26E-75EBF2E42877}" destId="{E0BAABE3-8D44-4E95-AF58-D3E01DBF9019}" srcOrd="0" destOrd="0" presId="urn:microsoft.com/office/officeart/2005/8/layout/hierarchy2"/>
    <dgm:cxn modelId="{7C91AE57-658B-41A9-8176-488F7A477544}" type="presParOf" srcId="{A8717298-2AB8-4A7B-A26E-75EBF2E42877}" destId="{0E05F1D6-C20F-41FB-8077-E7EA7BF63369}" srcOrd="1" destOrd="0" presId="urn:microsoft.com/office/officeart/2005/8/layout/hierarchy2"/>
    <dgm:cxn modelId="{4320D6F4-EE8E-419D-A4A0-FF6D05F5F116}" type="presParOf" srcId="{0E05F1D6-C20F-41FB-8077-E7EA7BF63369}" destId="{270CE3EC-FC91-40AB-9842-AE881B7F5C2A}" srcOrd="0" destOrd="0" presId="urn:microsoft.com/office/officeart/2005/8/layout/hierarchy2"/>
    <dgm:cxn modelId="{DAAAA1DA-BDCB-4855-89B0-00A9C198593E}" type="presParOf" srcId="{270CE3EC-FC91-40AB-9842-AE881B7F5C2A}" destId="{852720F0-B7BB-4978-B137-E20C07401143}" srcOrd="0" destOrd="0" presId="urn:microsoft.com/office/officeart/2005/8/layout/hierarchy2"/>
    <dgm:cxn modelId="{45E8AE7D-2161-4EB0-A3D0-553987F5F2F6}" type="presParOf" srcId="{0E05F1D6-C20F-41FB-8077-E7EA7BF63369}" destId="{55D6D05E-9090-433B-90AC-5BB7BA3F69B9}" srcOrd="1" destOrd="0" presId="urn:microsoft.com/office/officeart/2005/8/layout/hierarchy2"/>
    <dgm:cxn modelId="{690588C1-9089-4BBA-80D8-28A38970FDC5}" type="presParOf" srcId="{55D6D05E-9090-433B-90AC-5BB7BA3F69B9}" destId="{FD900754-F6AB-4DED-AB08-BFF6838246DD}" srcOrd="0" destOrd="0" presId="urn:microsoft.com/office/officeart/2005/8/layout/hierarchy2"/>
    <dgm:cxn modelId="{473A02B5-CEA0-43E0-BF2C-B786172233CF}" type="presParOf" srcId="{55D6D05E-9090-433B-90AC-5BB7BA3F69B9}" destId="{47DAFFE7-BB61-42F0-978D-ABDC2EC5D3CC}" srcOrd="1" destOrd="0" presId="urn:microsoft.com/office/officeart/2005/8/layout/hierarchy2"/>
  </dgm:cxnLst>
  <dgm:bg>
    <a:solidFill>
      <a:schemeClr val="accent4">
        <a:lumMod val="60000"/>
        <a:lumOff val="40000"/>
      </a:schemeClr>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75193-6FBD-4FC6-A34F-AE862BF2D55F}">
      <dsp:nvSpPr>
        <dsp:cNvPr id="0" name=""/>
        <dsp:cNvSpPr/>
      </dsp:nvSpPr>
      <dsp:spPr>
        <a:xfrm>
          <a:off x="1676566" y="1613217"/>
          <a:ext cx="699219" cy="766278"/>
        </a:xfrm>
        <a:custGeom>
          <a:avLst/>
          <a:gdLst/>
          <a:ahLst/>
          <a:cxnLst/>
          <a:rect l="0" t="0" r="0" b="0"/>
          <a:pathLst>
            <a:path>
              <a:moveTo>
                <a:pt x="0" y="0"/>
              </a:moveTo>
              <a:lnTo>
                <a:pt x="349609" y="0"/>
              </a:lnTo>
              <a:lnTo>
                <a:pt x="349609" y="766278"/>
              </a:lnTo>
              <a:lnTo>
                <a:pt x="699219" y="766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fr-FR" sz="2000" kern="1200">
            <a:solidFill>
              <a:sysClr val="windowText" lastClr="000000"/>
            </a:solidFill>
          </a:endParaRPr>
        </a:p>
      </dsp:txBody>
      <dsp:txXfrm>
        <a:off x="2000242" y="1970422"/>
        <a:ext cx="51867" cy="51867"/>
      </dsp:txXfrm>
    </dsp:sp>
    <dsp:sp modelId="{C58CBFC5-4CC2-4CFF-B74A-1141DD48050C}">
      <dsp:nvSpPr>
        <dsp:cNvPr id="0" name=""/>
        <dsp:cNvSpPr/>
      </dsp:nvSpPr>
      <dsp:spPr>
        <a:xfrm>
          <a:off x="1676566" y="1567497"/>
          <a:ext cx="699219" cy="91440"/>
        </a:xfrm>
        <a:custGeom>
          <a:avLst/>
          <a:gdLst/>
          <a:ahLst/>
          <a:cxnLst/>
          <a:rect l="0" t="0" r="0" b="0"/>
          <a:pathLst>
            <a:path>
              <a:moveTo>
                <a:pt x="0" y="45720"/>
              </a:moveTo>
              <a:lnTo>
                <a:pt x="699219"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fr-FR" sz="2000" kern="1200">
            <a:solidFill>
              <a:sysClr val="windowText" lastClr="000000"/>
            </a:solidFill>
          </a:endParaRPr>
        </a:p>
      </dsp:txBody>
      <dsp:txXfrm>
        <a:off x="2008695" y="1595737"/>
        <a:ext cx="34960" cy="34960"/>
      </dsp:txXfrm>
    </dsp:sp>
    <dsp:sp modelId="{A8240512-3CF8-45C5-906C-9803A9CFD396}">
      <dsp:nvSpPr>
        <dsp:cNvPr id="0" name=""/>
        <dsp:cNvSpPr/>
      </dsp:nvSpPr>
      <dsp:spPr>
        <a:xfrm>
          <a:off x="1676566" y="846939"/>
          <a:ext cx="699219" cy="766278"/>
        </a:xfrm>
        <a:custGeom>
          <a:avLst/>
          <a:gdLst/>
          <a:ahLst/>
          <a:cxnLst/>
          <a:rect l="0" t="0" r="0" b="0"/>
          <a:pathLst>
            <a:path>
              <a:moveTo>
                <a:pt x="0" y="766278"/>
              </a:moveTo>
              <a:lnTo>
                <a:pt x="349609" y="766278"/>
              </a:lnTo>
              <a:lnTo>
                <a:pt x="349609" y="0"/>
              </a:lnTo>
              <a:lnTo>
                <a:pt x="69921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fr-FR" sz="2000" kern="1200">
            <a:solidFill>
              <a:sysClr val="windowText" lastClr="000000"/>
            </a:solidFill>
          </a:endParaRPr>
        </a:p>
      </dsp:txBody>
      <dsp:txXfrm>
        <a:off x="2000242" y="1204144"/>
        <a:ext cx="51867" cy="51867"/>
      </dsp:txXfrm>
    </dsp:sp>
    <dsp:sp modelId="{D3448F3D-DAE8-4C7E-8398-A5D82FB062A2}">
      <dsp:nvSpPr>
        <dsp:cNvPr id="0" name=""/>
        <dsp:cNvSpPr/>
      </dsp:nvSpPr>
      <dsp:spPr>
        <a:xfrm rot="16200000">
          <a:off x="-514967" y="1034901"/>
          <a:ext cx="3226435" cy="1156632"/>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b="1" kern="1200" dirty="0" err="1">
              <a:solidFill>
                <a:sysClr val="windowText" lastClr="000000"/>
              </a:solidFill>
              <a:latin typeface="Arabic Typesetting" panose="03020402040406030203" pitchFamily="66" charset="-78"/>
              <a:cs typeface="Arabic Typesetting" panose="03020402040406030203" pitchFamily="66" charset="-78"/>
            </a:rPr>
            <a:t>البدبل</a:t>
          </a:r>
          <a:r>
            <a:rPr lang="ar-SA" sz="2000" b="1" kern="1200" dirty="0">
              <a:solidFill>
                <a:sysClr val="windowText" lastClr="000000"/>
              </a:solidFill>
              <a:latin typeface="Arabic Typesetting" panose="03020402040406030203" pitchFamily="66" charset="-78"/>
              <a:cs typeface="Arabic Typesetting" panose="03020402040406030203" pitchFamily="66" charset="-78"/>
            </a:rPr>
            <a:t> المنهجي في قراءة التراث اللغوي العربي </a:t>
          </a:r>
          <a:endParaRPr lang="fr-FR" sz="2000" b="1" kern="1200" dirty="0">
            <a:solidFill>
              <a:sysClr val="windowText" lastClr="000000"/>
            </a:solidFill>
            <a:latin typeface="Arabic Typesetting" panose="03020402040406030203" pitchFamily="66" charset="-78"/>
            <a:cs typeface="Arabic Typesetting" panose="03020402040406030203" pitchFamily="66" charset="-78"/>
          </a:endParaRPr>
        </a:p>
      </dsp:txBody>
      <dsp:txXfrm>
        <a:off x="-514967" y="1034901"/>
        <a:ext cx="3226435" cy="1156632"/>
      </dsp:txXfrm>
    </dsp:sp>
    <dsp:sp modelId="{71C1229A-2D50-4BF9-8D8A-F0A9C06C6DC9}">
      <dsp:nvSpPr>
        <dsp:cNvPr id="0" name=""/>
        <dsp:cNvSpPr/>
      </dsp:nvSpPr>
      <dsp:spPr>
        <a:xfrm>
          <a:off x="2375786" y="540427"/>
          <a:ext cx="2010714" cy="613022"/>
        </a:xfrm>
        <a:prstGeom prst="rect">
          <a:avLst/>
        </a:prstGeom>
        <a:solidFill>
          <a:schemeClr val="accent3">
            <a:lumMod val="60000"/>
            <a:lumOff val="4000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kern="1200" dirty="0">
              <a:solidFill>
                <a:sysClr val="windowText" lastClr="000000"/>
              </a:solidFill>
              <a:latin typeface="Arabic Typesetting" panose="03020402040406030203" pitchFamily="66" charset="-78"/>
              <a:cs typeface="Arabic Typesetting" panose="03020402040406030203" pitchFamily="66" charset="-78"/>
            </a:rPr>
            <a:t>تغييب التراث</a:t>
          </a:r>
          <a:endParaRPr lang="fr-FR" sz="2000" kern="1200" dirty="0">
            <a:solidFill>
              <a:sysClr val="windowText" lastClr="000000"/>
            </a:solidFill>
            <a:latin typeface="Arabic Typesetting" panose="03020402040406030203" pitchFamily="66" charset="-78"/>
            <a:cs typeface="Arabic Typesetting" panose="03020402040406030203" pitchFamily="66" charset="-78"/>
          </a:endParaRPr>
        </a:p>
      </dsp:txBody>
      <dsp:txXfrm>
        <a:off x="2375786" y="540427"/>
        <a:ext cx="2010714" cy="613022"/>
      </dsp:txXfrm>
    </dsp:sp>
    <dsp:sp modelId="{42B47E04-59AA-4769-BF35-C9B3BAA4E085}">
      <dsp:nvSpPr>
        <dsp:cNvPr id="0" name=""/>
        <dsp:cNvSpPr/>
      </dsp:nvSpPr>
      <dsp:spPr>
        <a:xfrm>
          <a:off x="2375786" y="1306706"/>
          <a:ext cx="2567923" cy="613022"/>
        </a:xfrm>
        <a:prstGeom prst="rect">
          <a:avLst/>
        </a:prstGeom>
        <a:solidFill>
          <a:schemeClr val="accent3">
            <a:lumMod val="60000"/>
            <a:lumOff val="4000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kern="1200" dirty="0">
              <a:solidFill>
                <a:sysClr val="windowText" lastClr="000000"/>
              </a:solidFill>
              <a:latin typeface="Arabic Typesetting" panose="03020402040406030203" pitchFamily="66" charset="-78"/>
              <a:cs typeface="Arabic Typesetting" panose="03020402040406030203" pitchFamily="66" charset="-78"/>
            </a:rPr>
            <a:t>تغييب النظريات الغربية الحديثة</a:t>
          </a:r>
          <a:endParaRPr lang="fr-FR" sz="2000" kern="1200" dirty="0">
            <a:solidFill>
              <a:sysClr val="windowText" lastClr="000000"/>
            </a:solidFill>
            <a:latin typeface="Arabic Typesetting" panose="03020402040406030203" pitchFamily="66" charset="-78"/>
            <a:cs typeface="Arabic Typesetting" panose="03020402040406030203" pitchFamily="66" charset="-78"/>
          </a:endParaRPr>
        </a:p>
      </dsp:txBody>
      <dsp:txXfrm>
        <a:off x="2375786" y="1306706"/>
        <a:ext cx="2567923" cy="613022"/>
      </dsp:txXfrm>
    </dsp:sp>
    <dsp:sp modelId="{74E9CD2F-738B-417A-AD27-7C2390B10585}">
      <dsp:nvSpPr>
        <dsp:cNvPr id="0" name=""/>
        <dsp:cNvSpPr/>
      </dsp:nvSpPr>
      <dsp:spPr>
        <a:xfrm>
          <a:off x="2375786" y="2072984"/>
          <a:ext cx="2010714" cy="613022"/>
        </a:xfrm>
        <a:prstGeom prst="rect">
          <a:avLst/>
        </a:prstGeom>
        <a:solidFill>
          <a:schemeClr val="accent3">
            <a:lumMod val="60000"/>
            <a:lumOff val="4000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rtl="1">
            <a:lnSpc>
              <a:spcPct val="90000"/>
            </a:lnSpc>
            <a:spcBef>
              <a:spcPct val="0"/>
            </a:spcBef>
            <a:spcAft>
              <a:spcPct val="35000"/>
            </a:spcAft>
            <a:buNone/>
          </a:pPr>
          <a:r>
            <a:rPr lang="ar-SA" sz="2000" kern="1200" dirty="0">
              <a:solidFill>
                <a:sysClr val="windowText" lastClr="000000"/>
              </a:solidFill>
              <a:latin typeface="Arabic Typesetting" panose="03020402040406030203" pitchFamily="66" charset="-78"/>
              <a:cs typeface="Arabic Typesetting" panose="03020402040406030203" pitchFamily="66" charset="-78"/>
            </a:rPr>
            <a:t>تحيين التراث</a:t>
          </a:r>
          <a:r>
            <a:rPr lang="ar-SA" sz="2000" kern="1200" dirty="0">
              <a:solidFill>
                <a:sysClr val="windowText" lastClr="000000"/>
              </a:solidFill>
            </a:rPr>
            <a:t> </a:t>
          </a:r>
          <a:endParaRPr lang="fr-FR" sz="2000" kern="1200" dirty="0">
            <a:solidFill>
              <a:sysClr val="windowText" lastClr="000000"/>
            </a:solidFill>
          </a:endParaRPr>
        </a:p>
      </dsp:txBody>
      <dsp:txXfrm>
        <a:off x="2375786" y="2072984"/>
        <a:ext cx="2010714" cy="6130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F635A7-42E5-464E-BB3A-2A0F17EBA755}">
      <dsp:nvSpPr>
        <dsp:cNvPr id="0" name=""/>
        <dsp:cNvSpPr/>
      </dsp:nvSpPr>
      <dsp:spPr>
        <a:xfrm>
          <a:off x="3438" y="1072132"/>
          <a:ext cx="1314710" cy="657355"/>
        </a:xfrm>
        <a:prstGeom prst="roundRect">
          <a:avLst>
            <a:gd name="adj" fmla="val 1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62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ar-SA" sz="2400" kern="1200" dirty="0">
              <a:solidFill>
                <a:schemeClr val="tx1"/>
              </a:solidFill>
              <a:latin typeface="Arabic Typesetting" panose="03020402040406030203" pitchFamily="66" charset="-78"/>
              <a:cs typeface="Arabic Typesetting" panose="03020402040406030203" pitchFamily="66" charset="-78"/>
            </a:rPr>
            <a:t>حضارة النص</a:t>
          </a:r>
          <a:endParaRPr lang="fr-FR" sz="2400" kern="1200" dirty="0">
            <a:solidFill>
              <a:schemeClr val="tx1"/>
            </a:solidFill>
            <a:latin typeface="Arabic Typesetting" panose="03020402040406030203" pitchFamily="66" charset="-78"/>
            <a:cs typeface="Arabic Typesetting" panose="03020402040406030203" pitchFamily="66" charset="-78"/>
          </a:endParaRPr>
        </a:p>
      </dsp:txBody>
      <dsp:txXfrm>
        <a:off x="22691" y="1091385"/>
        <a:ext cx="1276204" cy="618849"/>
      </dsp:txXfrm>
    </dsp:sp>
    <dsp:sp modelId="{36189270-F169-42B0-8B97-B20654FB4C7E}">
      <dsp:nvSpPr>
        <dsp:cNvPr id="0" name=""/>
        <dsp:cNvSpPr/>
      </dsp:nvSpPr>
      <dsp:spPr>
        <a:xfrm rot="19457599">
          <a:off x="1257276" y="1190703"/>
          <a:ext cx="647628" cy="42234"/>
        </a:xfrm>
        <a:custGeom>
          <a:avLst/>
          <a:gdLst/>
          <a:ahLst/>
          <a:cxnLst/>
          <a:rect l="0" t="0" r="0" b="0"/>
          <a:pathLst>
            <a:path>
              <a:moveTo>
                <a:pt x="0" y="21117"/>
              </a:moveTo>
              <a:lnTo>
                <a:pt x="647628" y="21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066800">
            <a:lnSpc>
              <a:spcPct val="90000"/>
            </a:lnSpc>
            <a:spcBef>
              <a:spcPct val="0"/>
            </a:spcBef>
            <a:spcAft>
              <a:spcPct val="35000"/>
            </a:spcAft>
            <a:buNone/>
          </a:pPr>
          <a:endParaRPr lang="fr-FR" sz="2400" kern="1200">
            <a:solidFill>
              <a:schemeClr val="tx1"/>
            </a:solidFill>
          </a:endParaRPr>
        </a:p>
      </dsp:txBody>
      <dsp:txXfrm>
        <a:off x="1564900" y="1195629"/>
        <a:ext cx="32381" cy="32381"/>
      </dsp:txXfrm>
    </dsp:sp>
    <dsp:sp modelId="{2E2BBF22-2D8A-45B1-B86A-D26EAE0464F1}">
      <dsp:nvSpPr>
        <dsp:cNvPr id="0" name=""/>
        <dsp:cNvSpPr/>
      </dsp:nvSpPr>
      <dsp:spPr>
        <a:xfrm>
          <a:off x="1844033" y="694153"/>
          <a:ext cx="1757070" cy="657355"/>
        </a:xfrm>
        <a:prstGeom prst="roundRect">
          <a:avLst>
            <a:gd name="adj" fmla="val 10000"/>
          </a:avLst>
        </a:prstGeom>
        <a:blipFill rotWithShape="0">
          <a:blip xmlns:r="http://schemas.openxmlformats.org/officeDocument/2006/relationships" r:embed="rId1"/>
          <a:tile tx="0" ty="0" sx="100000" sy="100000" flip="none" algn="tl"/>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ar-SA" sz="2400" kern="1200" dirty="0">
              <a:solidFill>
                <a:schemeClr val="tx1"/>
              </a:solidFill>
              <a:latin typeface="Arabic Typesetting" panose="03020402040406030203" pitchFamily="66" charset="-78"/>
              <a:cs typeface="Arabic Typesetting" panose="03020402040406030203" pitchFamily="66" charset="-78"/>
            </a:rPr>
            <a:t>العقل المعماري </a:t>
          </a:r>
          <a:endParaRPr lang="fr-FR" sz="2400" kern="1200" dirty="0">
            <a:solidFill>
              <a:schemeClr val="tx1"/>
            </a:solidFill>
            <a:latin typeface="Arabic Typesetting" panose="03020402040406030203" pitchFamily="66" charset="-78"/>
            <a:cs typeface="Arabic Typesetting" panose="03020402040406030203" pitchFamily="66" charset="-78"/>
          </a:endParaRPr>
        </a:p>
      </dsp:txBody>
      <dsp:txXfrm>
        <a:off x="1863286" y="713406"/>
        <a:ext cx="1718564" cy="618849"/>
      </dsp:txXfrm>
    </dsp:sp>
    <dsp:sp modelId="{C96EDA02-0587-4389-876E-F14F3FA5B105}">
      <dsp:nvSpPr>
        <dsp:cNvPr id="0" name=""/>
        <dsp:cNvSpPr/>
      </dsp:nvSpPr>
      <dsp:spPr>
        <a:xfrm>
          <a:off x="3601103" y="1001713"/>
          <a:ext cx="525884" cy="42234"/>
        </a:xfrm>
        <a:custGeom>
          <a:avLst/>
          <a:gdLst/>
          <a:ahLst/>
          <a:cxnLst/>
          <a:rect l="0" t="0" r="0" b="0"/>
          <a:pathLst>
            <a:path>
              <a:moveTo>
                <a:pt x="0" y="21117"/>
              </a:moveTo>
              <a:lnTo>
                <a:pt x="525884" y="21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066800">
            <a:lnSpc>
              <a:spcPct val="90000"/>
            </a:lnSpc>
            <a:spcBef>
              <a:spcPct val="0"/>
            </a:spcBef>
            <a:spcAft>
              <a:spcPct val="35000"/>
            </a:spcAft>
            <a:buNone/>
          </a:pPr>
          <a:endParaRPr lang="fr-FR" sz="2400" kern="1200">
            <a:solidFill>
              <a:schemeClr val="tx1"/>
            </a:solidFill>
          </a:endParaRPr>
        </a:p>
      </dsp:txBody>
      <dsp:txXfrm>
        <a:off x="3850898" y="1009683"/>
        <a:ext cx="26294" cy="26294"/>
      </dsp:txXfrm>
    </dsp:sp>
    <dsp:sp modelId="{619716EE-3D1A-4A6F-9F65-F6B099F4D6F4}">
      <dsp:nvSpPr>
        <dsp:cNvPr id="0" name=""/>
        <dsp:cNvSpPr/>
      </dsp:nvSpPr>
      <dsp:spPr>
        <a:xfrm>
          <a:off x="4126987" y="694153"/>
          <a:ext cx="1314710" cy="657355"/>
        </a:xfrm>
        <a:prstGeom prst="roundRect">
          <a:avLst>
            <a:gd name="adj" fmla="val 10000"/>
          </a:avLst>
        </a:prstGeom>
        <a:blipFill rotWithShape="0">
          <a:blip xmlns:r="http://schemas.openxmlformats.org/officeDocument/2006/relationships" r:embed="rId2"/>
          <a:tile tx="0" ty="0" sx="100000" sy="100000" flip="none" algn="tl"/>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ar-SA" sz="2400" kern="1200" dirty="0">
              <a:solidFill>
                <a:schemeClr val="tx1"/>
              </a:solidFill>
              <a:latin typeface="Arabic Typesetting" panose="03020402040406030203" pitchFamily="66" charset="-78"/>
              <a:cs typeface="Arabic Typesetting" panose="03020402040406030203" pitchFamily="66" charset="-78"/>
            </a:rPr>
            <a:t>نظام</a:t>
          </a:r>
          <a:endParaRPr lang="fr-FR" sz="2400" kern="1200" dirty="0">
            <a:solidFill>
              <a:schemeClr val="tx1"/>
            </a:solidFill>
            <a:latin typeface="Arabic Typesetting" panose="03020402040406030203" pitchFamily="66" charset="-78"/>
            <a:cs typeface="Arabic Typesetting" panose="03020402040406030203" pitchFamily="66" charset="-78"/>
          </a:endParaRPr>
        </a:p>
      </dsp:txBody>
      <dsp:txXfrm>
        <a:off x="4146240" y="713406"/>
        <a:ext cx="1276204" cy="618849"/>
      </dsp:txXfrm>
    </dsp:sp>
    <dsp:sp modelId="{9E879A5B-3163-46B8-8CB1-2C46BC59CC4D}">
      <dsp:nvSpPr>
        <dsp:cNvPr id="0" name=""/>
        <dsp:cNvSpPr/>
      </dsp:nvSpPr>
      <dsp:spPr>
        <a:xfrm rot="2142401">
          <a:off x="1257276" y="1568682"/>
          <a:ext cx="647628" cy="42234"/>
        </a:xfrm>
        <a:custGeom>
          <a:avLst/>
          <a:gdLst/>
          <a:ahLst/>
          <a:cxnLst/>
          <a:rect l="0" t="0" r="0" b="0"/>
          <a:pathLst>
            <a:path>
              <a:moveTo>
                <a:pt x="0" y="21117"/>
              </a:moveTo>
              <a:lnTo>
                <a:pt x="647628" y="21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066800">
            <a:lnSpc>
              <a:spcPct val="90000"/>
            </a:lnSpc>
            <a:spcBef>
              <a:spcPct val="0"/>
            </a:spcBef>
            <a:spcAft>
              <a:spcPct val="35000"/>
            </a:spcAft>
            <a:buNone/>
          </a:pPr>
          <a:endParaRPr lang="fr-FR" sz="2400" kern="1200">
            <a:solidFill>
              <a:schemeClr val="tx1"/>
            </a:solidFill>
          </a:endParaRPr>
        </a:p>
      </dsp:txBody>
      <dsp:txXfrm>
        <a:off x="1564900" y="1573608"/>
        <a:ext cx="32381" cy="32381"/>
      </dsp:txXfrm>
    </dsp:sp>
    <dsp:sp modelId="{E0BAABE3-8D44-4E95-AF58-D3E01DBF9019}">
      <dsp:nvSpPr>
        <dsp:cNvPr id="0" name=""/>
        <dsp:cNvSpPr/>
      </dsp:nvSpPr>
      <dsp:spPr>
        <a:xfrm>
          <a:off x="1844033" y="1450111"/>
          <a:ext cx="2072653" cy="657355"/>
        </a:xfrm>
        <a:prstGeom prst="roundRect">
          <a:avLst>
            <a:gd name="adj" fmla="val 10000"/>
          </a:avLst>
        </a:prstGeom>
        <a:blipFill rotWithShape="0">
          <a:blip xmlns:r="http://schemas.openxmlformats.org/officeDocument/2006/relationships" r:embed="rId3"/>
          <a:tile tx="0" ty="0" sx="100000" sy="100000" flip="none" algn="tl"/>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ar-SA" sz="2400" kern="1200" dirty="0">
              <a:solidFill>
                <a:schemeClr val="tx1"/>
              </a:solidFill>
              <a:latin typeface="Arabic Typesetting" panose="03020402040406030203" pitchFamily="66" charset="-78"/>
              <a:cs typeface="Arabic Typesetting" panose="03020402040406030203" pitchFamily="66" charset="-78"/>
            </a:rPr>
            <a:t>التراث اللغوي العربي</a:t>
          </a:r>
          <a:endParaRPr lang="fr-FR" sz="2400" kern="1200" dirty="0">
            <a:solidFill>
              <a:schemeClr val="tx1"/>
            </a:solidFill>
            <a:latin typeface="Arabic Typesetting" panose="03020402040406030203" pitchFamily="66" charset="-78"/>
            <a:cs typeface="Arabic Typesetting" panose="03020402040406030203" pitchFamily="66" charset="-78"/>
          </a:endParaRPr>
        </a:p>
      </dsp:txBody>
      <dsp:txXfrm>
        <a:off x="1863286" y="1469364"/>
        <a:ext cx="2034147" cy="618849"/>
      </dsp:txXfrm>
    </dsp:sp>
    <dsp:sp modelId="{270CE3EC-FC91-40AB-9842-AE881B7F5C2A}">
      <dsp:nvSpPr>
        <dsp:cNvPr id="0" name=""/>
        <dsp:cNvSpPr/>
      </dsp:nvSpPr>
      <dsp:spPr>
        <a:xfrm rot="34017">
          <a:off x="3916677" y="1759601"/>
          <a:ext cx="389962" cy="42234"/>
        </a:xfrm>
        <a:custGeom>
          <a:avLst/>
          <a:gdLst/>
          <a:ahLst/>
          <a:cxnLst/>
          <a:rect l="0" t="0" r="0" b="0"/>
          <a:pathLst>
            <a:path>
              <a:moveTo>
                <a:pt x="0" y="21117"/>
              </a:moveTo>
              <a:lnTo>
                <a:pt x="389962" y="21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066800">
            <a:lnSpc>
              <a:spcPct val="90000"/>
            </a:lnSpc>
            <a:spcBef>
              <a:spcPct val="0"/>
            </a:spcBef>
            <a:spcAft>
              <a:spcPct val="35000"/>
            </a:spcAft>
            <a:buNone/>
          </a:pPr>
          <a:endParaRPr lang="fr-FR" sz="2400" kern="1200">
            <a:solidFill>
              <a:schemeClr val="tx1"/>
            </a:solidFill>
          </a:endParaRPr>
        </a:p>
      </dsp:txBody>
      <dsp:txXfrm>
        <a:off x="4101909" y="1770969"/>
        <a:ext cx="19498" cy="19498"/>
      </dsp:txXfrm>
    </dsp:sp>
    <dsp:sp modelId="{FD900754-F6AB-4DED-AB08-BFF6838246DD}">
      <dsp:nvSpPr>
        <dsp:cNvPr id="0" name=""/>
        <dsp:cNvSpPr/>
      </dsp:nvSpPr>
      <dsp:spPr>
        <a:xfrm>
          <a:off x="4306629" y="1453970"/>
          <a:ext cx="1314710" cy="657355"/>
        </a:xfrm>
        <a:prstGeom prst="roundRect">
          <a:avLst>
            <a:gd name="adj" fmla="val 10000"/>
          </a:avLst>
        </a:prstGeom>
        <a:blipFill rotWithShape="0">
          <a:blip xmlns:r="http://schemas.openxmlformats.org/officeDocument/2006/relationships" r:embed="rId4"/>
          <a:tile tx="0" ty="0" sx="100000" sy="100000" flip="none" algn="tl"/>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ar-SA" sz="2400" kern="1200" dirty="0">
              <a:solidFill>
                <a:schemeClr val="tx1"/>
              </a:solidFill>
              <a:latin typeface="Arabic Typesetting" panose="03020402040406030203" pitchFamily="66" charset="-78"/>
              <a:cs typeface="Arabic Typesetting" panose="03020402040406030203" pitchFamily="66" charset="-78"/>
            </a:rPr>
            <a:t>البيئة الثقافية</a:t>
          </a:r>
          <a:endParaRPr lang="fr-FR" sz="2400" kern="1200" dirty="0">
            <a:solidFill>
              <a:schemeClr val="tx1"/>
            </a:solidFill>
            <a:latin typeface="Arabic Typesetting" panose="03020402040406030203" pitchFamily="66" charset="-78"/>
            <a:cs typeface="Arabic Typesetting" panose="03020402040406030203" pitchFamily="66" charset="-78"/>
          </a:endParaRPr>
        </a:p>
      </dsp:txBody>
      <dsp:txXfrm>
        <a:off x="4325882" y="1473223"/>
        <a:ext cx="1276204" cy="61884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2120</Words>
  <Characters>11665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2023-10-04T08:15:00Z</cp:lastPrinted>
  <dcterms:created xsi:type="dcterms:W3CDTF">2023-10-04T08:00:00Z</dcterms:created>
  <dcterms:modified xsi:type="dcterms:W3CDTF">2023-10-04T08:17:00Z</dcterms:modified>
</cp:coreProperties>
</file>