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1C" w:rsidRPr="005E6040" w:rsidRDefault="005E6040" w:rsidP="005E6040">
      <w:pPr>
        <w:pStyle w:val="Sansinterligne"/>
        <w:rPr>
          <w:rFonts w:asciiTheme="majorBidi" w:hAnsiTheme="majorBidi" w:cstheme="majorBidi"/>
          <w:b/>
          <w:bCs/>
        </w:rPr>
      </w:pPr>
      <w:r w:rsidRPr="005E6040">
        <w:rPr>
          <w:rFonts w:asciiTheme="majorBidi" w:hAnsiTheme="majorBidi" w:cstheme="majorBidi"/>
          <w:b/>
          <w:bCs/>
        </w:rPr>
        <w:t>Module : Etude de Textes</w:t>
      </w:r>
    </w:p>
    <w:p w:rsidR="005E6040" w:rsidRPr="005E6040" w:rsidRDefault="005E6040" w:rsidP="005E6040">
      <w:pPr>
        <w:pStyle w:val="Sansinterligne"/>
        <w:rPr>
          <w:rFonts w:asciiTheme="majorBidi" w:hAnsiTheme="majorBidi" w:cstheme="majorBidi"/>
          <w:b/>
          <w:bCs/>
        </w:rPr>
      </w:pPr>
      <w:r w:rsidRPr="005E6040">
        <w:rPr>
          <w:rFonts w:asciiTheme="majorBidi" w:hAnsiTheme="majorBidi" w:cstheme="majorBidi"/>
          <w:b/>
          <w:bCs/>
        </w:rPr>
        <w:t>Niveau : 1</w:t>
      </w:r>
      <w:r w:rsidRPr="005E6040">
        <w:rPr>
          <w:rFonts w:asciiTheme="majorBidi" w:hAnsiTheme="majorBidi" w:cstheme="majorBidi"/>
          <w:b/>
          <w:bCs/>
          <w:vertAlign w:val="superscript"/>
        </w:rPr>
        <w:t>ère</w:t>
      </w:r>
      <w:r w:rsidRPr="005E6040">
        <w:rPr>
          <w:rFonts w:asciiTheme="majorBidi" w:hAnsiTheme="majorBidi" w:cstheme="majorBidi"/>
          <w:b/>
          <w:bCs/>
        </w:rPr>
        <w:t xml:space="preserve"> année</w:t>
      </w:r>
    </w:p>
    <w:p w:rsidR="005E6040" w:rsidRDefault="005E6040" w:rsidP="005E6040">
      <w:pPr>
        <w:pStyle w:val="Sansinterligne"/>
        <w:rPr>
          <w:rFonts w:asciiTheme="majorBidi" w:hAnsiTheme="majorBidi" w:cstheme="majorBidi"/>
          <w:b/>
          <w:bCs/>
        </w:rPr>
      </w:pPr>
      <w:r w:rsidRPr="005E6040">
        <w:rPr>
          <w:rFonts w:asciiTheme="majorBidi" w:hAnsiTheme="majorBidi" w:cstheme="majorBidi"/>
          <w:b/>
          <w:bCs/>
        </w:rPr>
        <w:t>Cours 1 : Définition de quelques notions relatives au texte</w:t>
      </w:r>
    </w:p>
    <w:p w:rsidR="005E6040" w:rsidRDefault="005E6040" w:rsidP="005E6040"/>
    <w:p w:rsidR="005E6040" w:rsidRDefault="005E6040" w:rsidP="005E604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E6040">
        <w:rPr>
          <w:rFonts w:asciiTheme="majorBidi" w:hAnsiTheme="majorBidi" w:cstheme="majorBidi"/>
          <w:b/>
          <w:bCs/>
          <w:sz w:val="24"/>
          <w:szCs w:val="24"/>
        </w:rPr>
        <w:t xml:space="preserve">I – La notion de « texte » </w:t>
      </w:r>
    </w:p>
    <w:p w:rsidR="005E6040" w:rsidRDefault="005E6040" w:rsidP="00260D36">
      <w:pPr>
        <w:pStyle w:val="Sansinterligne"/>
        <w:jc w:val="both"/>
        <w:rPr>
          <w:rStyle w:val="lev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</w:pPr>
      <w:r w:rsidRPr="00260D36">
        <w:rPr>
          <w:rStyle w:val="lev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Le texte est une notion ambiguë. Il peut être une phrase, un paragraphe ou un livre entier. On l’appelle aussi énoncé. Étymologiquement, il dérive du mot latin « </w:t>
      </w:r>
      <w:proofErr w:type="spellStart"/>
      <w:r w:rsidRPr="00260D36">
        <w:rPr>
          <w:rStyle w:val="lev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textus</w:t>
      </w:r>
      <w:proofErr w:type="spellEnd"/>
      <w:r w:rsidRPr="00260D36">
        <w:rPr>
          <w:rStyle w:val="lev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 » qui signifie « toile », une toile tissée avec des mots qui se côtoient pour créer un réseau de significations.</w:t>
      </w:r>
      <w:r w:rsidRPr="00260D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60D36">
        <w:rPr>
          <w:rStyle w:val="lev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Le texte est aussi un ense</w:t>
      </w:r>
      <w:r w:rsidR="00BF2B3E" w:rsidRPr="00260D36">
        <w:rPr>
          <w:rStyle w:val="lev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mble de paragraphes dont chacun</w:t>
      </w:r>
      <w:r w:rsidRPr="00260D36">
        <w:rPr>
          <w:rStyle w:val="lev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 développe une idée précise.</w:t>
      </w:r>
    </w:p>
    <w:p w:rsidR="00260D36" w:rsidRPr="00260D36" w:rsidRDefault="00260D36" w:rsidP="00260D36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60D36" w:rsidRDefault="008B4B54" w:rsidP="00260D36">
      <w:pPr>
        <w:pStyle w:val="Sansinterligne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60D3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On peut aussi bien parler de texte écrit que de texte oral. Il y a également des textes </w:t>
      </w:r>
      <w:r w:rsidR="00A128DD" w:rsidRPr="00260D36">
        <w:rPr>
          <w:rFonts w:asciiTheme="majorBidi" w:eastAsia="Times New Roman" w:hAnsiTheme="majorBidi" w:cstheme="majorBidi"/>
          <w:sz w:val="24"/>
          <w:szCs w:val="24"/>
          <w:lang w:eastAsia="fr-FR"/>
        </w:rPr>
        <w:t>iconiques</w:t>
      </w:r>
      <w:r w:rsidRPr="00260D3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(images) ou </w:t>
      </w:r>
      <w:proofErr w:type="spellStart"/>
      <w:r w:rsidRPr="00260D36">
        <w:rPr>
          <w:rFonts w:asciiTheme="majorBidi" w:eastAsia="Times New Roman" w:hAnsiTheme="majorBidi" w:cstheme="majorBidi"/>
          <w:sz w:val="24"/>
          <w:szCs w:val="24"/>
          <w:lang w:eastAsia="fr-FR"/>
        </w:rPr>
        <w:t>plurisémiotiques</w:t>
      </w:r>
      <w:proofErr w:type="spellEnd"/>
      <w:r w:rsidRPr="00260D3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(mélange de différents signes) comme la BD, </w:t>
      </w:r>
      <w:r w:rsidR="00A128DD" w:rsidRPr="00260D36">
        <w:rPr>
          <w:rFonts w:asciiTheme="majorBidi" w:eastAsia="Times New Roman" w:hAnsiTheme="majorBidi" w:cstheme="majorBidi"/>
          <w:sz w:val="24"/>
          <w:szCs w:val="24"/>
          <w:lang w:eastAsia="fr-FR"/>
        </w:rPr>
        <w:t>iconique</w:t>
      </w:r>
      <w:r w:rsidRPr="00260D3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(images) et linguistique (textes). La réalité du texte est également indépendante de sa longueur.</w:t>
      </w:r>
    </w:p>
    <w:p w:rsidR="00260D36" w:rsidRPr="00260D36" w:rsidRDefault="00260D36" w:rsidP="00260D36">
      <w:pPr>
        <w:pStyle w:val="Sansinterligne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A02C79" w:rsidRDefault="00A02C79" w:rsidP="00260D36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 w:rsidRPr="00260D36">
        <w:rPr>
          <w:rFonts w:asciiTheme="majorBidi" w:hAnsiTheme="majorBidi" w:cstheme="majorBidi"/>
          <w:sz w:val="24"/>
          <w:szCs w:val="24"/>
        </w:rPr>
        <w:t>« La notion de texte serait, à en croire certains, impossible à définir. » (</w:t>
      </w:r>
      <w:proofErr w:type="spellStart"/>
      <w:r w:rsidRPr="00260D36">
        <w:rPr>
          <w:rFonts w:asciiTheme="majorBidi" w:hAnsiTheme="majorBidi" w:cstheme="majorBidi"/>
          <w:sz w:val="24"/>
          <w:szCs w:val="24"/>
        </w:rPr>
        <w:t>Weinrich</w:t>
      </w:r>
      <w:proofErr w:type="spellEnd"/>
      <w:r w:rsidRPr="00260D36">
        <w:rPr>
          <w:rFonts w:asciiTheme="majorBidi" w:hAnsiTheme="majorBidi" w:cstheme="majorBidi"/>
          <w:sz w:val="24"/>
          <w:szCs w:val="24"/>
        </w:rPr>
        <w:t xml:space="preserve"> 1973 : 13)</w:t>
      </w:r>
      <w:r w:rsidR="00A128DD" w:rsidRPr="00260D3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260D36">
        <w:rPr>
          <w:rFonts w:asciiTheme="majorBidi" w:hAnsiTheme="majorBidi" w:cstheme="majorBidi"/>
          <w:sz w:val="24"/>
          <w:szCs w:val="24"/>
        </w:rPr>
        <w:t>Le premier obstacle que rencontre tout essai de définition de la notion de </w:t>
      </w:r>
      <w:r w:rsidRPr="00260D36">
        <w:rPr>
          <w:rFonts w:asciiTheme="majorBidi" w:hAnsiTheme="majorBidi" w:cstheme="majorBidi"/>
          <w:i/>
          <w:iCs/>
          <w:sz w:val="24"/>
          <w:szCs w:val="24"/>
        </w:rPr>
        <w:t>texte </w:t>
      </w:r>
      <w:r w:rsidRPr="00260D36">
        <w:rPr>
          <w:rFonts w:asciiTheme="majorBidi" w:hAnsiTheme="majorBidi" w:cstheme="majorBidi"/>
          <w:sz w:val="24"/>
          <w:szCs w:val="24"/>
        </w:rPr>
        <w:t>réside dans l’extrême diversité et l’hétérogénéité des textes possibles : un article de journal sportif, un poème, une recette de cuisine, un roman, une lettre administrative etc. Et que dire des textualités orales et des textualités numériques ?</w:t>
      </w:r>
    </w:p>
    <w:p w:rsidR="00260D36" w:rsidRPr="00260D36" w:rsidRDefault="00260D36" w:rsidP="00260D36">
      <w:pPr>
        <w:pStyle w:val="Sansinterligne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A02C79" w:rsidRDefault="00A02C79" w:rsidP="00746460">
      <w:pPr>
        <w:jc w:val="both"/>
        <w:rPr>
          <w:rFonts w:asciiTheme="majorBidi" w:hAnsiTheme="majorBidi" w:cstheme="majorBidi"/>
          <w:sz w:val="24"/>
          <w:szCs w:val="24"/>
        </w:rPr>
      </w:pPr>
      <w:r w:rsidRPr="004E66B7">
        <w:rPr>
          <w:rFonts w:asciiTheme="majorBidi" w:hAnsiTheme="majorBidi" w:cstheme="majorBidi"/>
          <w:sz w:val="24"/>
          <w:szCs w:val="24"/>
        </w:rPr>
        <w:t>À cette diversité vient s’ajouter une autre difficulté : le concept de </w:t>
      </w:r>
      <w:r w:rsidRPr="004E66B7">
        <w:rPr>
          <w:rFonts w:asciiTheme="majorBidi" w:hAnsiTheme="majorBidi" w:cstheme="majorBidi"/>
          <w:i/>
          <w:iCs/>
          <w:sz w:val="24"/>
          <w:szCs w:val="24"/>
        </w:rPr>
        <w:t>texte</w:t>
      </w:r>
      <w:r w:rsidRPr="004E66B7">
        <w:rPr>
          <w:rFonts w:asciiTheme="majorBidi" w:hAnsiTheme="majorBidi" w:cstheme="majorBidi"/>
          <w:sz w:val="24"/>
          <w:szCs w:val="24"/>
        </w:rPr>
        <w:t xml:space="preserve"> est l’objet légitime de disciplines aussi différentes que </w:t>
      </w:r>
      <w:r>
        <w:rPr>
          <w:rFonts w:asciiTheme="majorBidi" w:hAnsiTheme="majorBidi" w:cstheme="majorBidi"/>
          <w:sz w:val="24"/>
          <w:szCs w:val="24"/>
        </w:rPr>
        <w:t>la stylistique</w:t>
      </w:r>
      <w:r w:rsidR="00A128DD">
        <w:rPr>
          <w:rFonts w:asciiTheme="majorBidi" w:hAnsiTheme="majorBidi" w:cstheme="majorBidi"/>
          <w:sz w:val="24"/>
          <w:szCs w:val="24"/>
        </w:rPr>
        <w:t xml:space="preserve">, la </w:t>
      </w:r>
      <w:proofErr w:type="spellStart"/>
      <w:r w:rsidR="00A128DD">
        <w:rPr>
          <w:rFonts w:asciiTheme="majorBidi" w:hAnsiTheme="majorBidi" w:cstheme="majorBidi"/>
          <w:sz w:val="24"/>
          <w:szCs w:val="24"/>
        </w:rPr>
        <w:t>textologie</w:t>
      </w:r>
      <w:proofErr w:type="spellEnd"/>
      <w:r w:rsidR="00A128DD">
        <w:rPr>
          <w:rFonts w:asciiTheme="majorBidi" w:hAnsiTheme="majorBidi" w:cstheme="majorBidi"/>
          <w:sz w:val="24"/>
          <w:szCs w:val="24"/>
        </w:rPr>
        <w:t xml:space="preserve">, la poétique, </w:t>
      </w:r>
      <w:r w:rsidRPr="004E66B7">
        <w:rPr>
          <w:rFonts w:asciiTheme="majorBidi" w:hAnsiTheme="majorBidi" w:cstheme="majorBidi"/>
          <w:sz w:val="24"/>
          <w:szCs w:val="24"/>
        </w:rPr>
        <w:t xml:space="preserve">les sciences de l’information et de </w:t>
      </w:r>
      <w:r>
        <w:rPr>
          <w:rFonts w:asciiTheme="majorBidi" w:hAnsiTheme="majorBidi" w:cstheme="majorBidi"/>
          <w:sz w:val="24"/>
          <w:szCs w:val="24"/>
        </w:rPr>
        <w:t xml:space="preserve">la communication, </w:t>
      </w:r>
      <w:r w:rsidRPr="004E66B7">
        <w:rPr>
          <w:rFonts w:asciiTheme="majorBidi" w:hAnsiTheme="majorBidi" w:cstheme="majorBidi"/>
          <w:sz w:val="24"/>
          <w:szCs w:val="24"/>
        </w:rPr>
        <w:t>la philosophie</w:t>
      </w:r>
      <w:r>
        <w:rPr>
          <w:rFonts w:asciiTheme="majorBidi" w:hAnsiTheme="majorBidi" w:cstheme="majorBidi"/>
          <w:sz w:val="24"/>
          <w:szCs w:val="24"/>
        </w:rPr>
        <w:t xml:space="preserve"> etc</w:t>
      </w:r>
      <w:r w:rsidRPr="004E66B7">
        <w:rPr>
          <w:rFonts w:asciiTheme="majorBidi" w:hAnsiTheme="majorBidi" w:cstheme="majorBidi"/>
          <w:sz w:val="24"/>
          <w:szCs w:val="24"/>
        </w:rPr>
        <w:t>.</w:t>
      </w:r>
    </w:p>
    <w:p w:rsidR="00A038C7" w:rsidRDefault="00A038C7" w:rsidP="00A038C7">
      <w:pPr>
        <w:pStyle w:val="Sansinterligne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038C7">
        <w:rPr>
          <w:rFonts w:asciiTheme="majorBidi" w:hAnsiTheme="majorBidi" w:cstheme="majorBidi"/>
          <w:b/>
          <w:bCs/>
          <w:color w:val="000000"/>
          <w:sz w:val="24"/>
          <w:szCs w:val="24"/>
        </w:rPr>
        <w:t>Tentatives de définition </w:t>
      </w:r>
      <w:r w:rsidRPr="00981D63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A038C7" w:rsidRPr="00981D63" w:rsidRDefault="00A038C7" w:rsidP="00A038C7">
      <w:pPr>
        <w:pStyle w:val="Sansinterligne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038C7" w:rsidRPr="00981D63" w:rsidRDefault="00A038C7" w:rsidP="00A038C7">
      <w:pPr>
        <w:pStyle w:val="Sansinterligne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81D6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Suite de signes linguistiques constituant un écrit ou une œuvre. </w:t>
      </w:r>
    </w:p>
    <w:p w:rsidR="00A038C7" w:rsidRPr="00981D63" w:rsidRDefault="00A038C7" w:rsidP="00A038C7">
      <w:pPr>
        <w:pStyle w:val="Sansinterligne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81D63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En </w:t>
      </w:r>
      <w:proofErr w:type="spellStart"/>
      <w:r w:rsidRPr="00981D63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partic</w:t>
      </w:r>
      <w:proofErr w:type="spellEnd"/>
      <w:r w:rsidRPr="00981D63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.</w:t>
      </w:r>
      <w:r w:rsidRPr="00981D6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Écrit considéré dans ses termes exacts, originaux et authentiques. </w:t>
      </w:r>
      <w:r w:rsidRPr="00981D63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Texte d'un acte, d'un arrêté, d'une loi, d'une ordonnance; textes juridiques, législatifs, religieux…</w:t>
      </w:r>
    </w:p>
    <w:p w:rsidR="00A038C7" w:rsidRPr="002828D6" w:rsidRDefault="00A038C7" w:rsidP="002828D6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981D63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    </w:t>
      </w:r>
      <w:r w:rsidR="002828D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3</w:t>
      </w:r>
      <w:r w:rsidRPr="00981D6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.</w:t>
      </w:r>
      <w:r w:rsidRPr="00981D6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  <w:r w:rsidRPr="00981D63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TYPOGRAPHIE</w:t>
      </w:r>
    </w:p>
    <w:p w:rsidR="00A038C7" w:rsidRPr="00981D63" w:rsidRDefault="00A038C7" w:rsidP="00A038C7">
      <w:pPr>
        <w:pStyle w:val="Sansinterligne"/>
        <w:ind w:left="720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981D6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a)</w:t>
      </w:r>
      <w:r w:rsidRPr="00981D6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Partie de la page recouverte de caractères composant un écrit.</w:t>
      </w:r>
      <w:r w:rsidRPr="00981D6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</w:p>
    <w:p w:rsidR="00A038C7" w:rsidRPr="00981D63" w:rsidRDefault="00A038C7" w:rsidP="00A038C7">
      <w:pPr>
        <w:pStyle w:val="Sansinterligne"/>
        <w:ind w:left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81D6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b)</w:t>
      </w:r>
      <w:r w:rsidRPr="00981D6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Caractère d'imprimerie. </w:t>
      </w:r>
    </w:p>
    <w:p w:rsidR="00A038C7" w:rsidRPr="00981D63" w:rsidRDefault="002828D6" w:rsidP="00A038C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    4</w:t>
      </w:r>
      <w:r w:rsidR="00A038C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. </w:t>
      </w:r>
      <w:r w:rsidR="00A038C7" w:rsidRPr="00981D6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Œuvre littéraire, œuvre ou document authentique considéré comme référence ou servant de base à une culture ou une discipline. </w:t>
      </w:r>
    </w:p>
    <w:p w:rsidR="00A038C7" w:rsidRPr="00981D63" w:rsidRDefault="00A038C7" w:rsidP="00A038C7">
      <w:pPr>
        <w:pStyle w:val="Sansinterligne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81D6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♦ Écrit d'un auteur. </w:t>
      </w:r>
      <w:r w:rsidRPr="00981D63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Soumettre un texte à un éditeur</w:t>
      </w:r>
      <w:r w:rsidRPr="00981D6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 </w:t>
      </w:r>
    </w:p>
    <w:p w:rsidR="00A038C7" w:rsidRDefault="00A038C7" w:rsidP="00A038C7">
      <w:pPr>
        <w:pStyle w:val="Sansinterligne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81D6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♦ Fragment, morceau choisi d'une œuvre (considéré comme caractéristique de la pensée ou du style d'un auteur); passage d'une œuvre. </w:t>
      </w:r>
    </w:p>
    <w:p w:rsidR="009B0F83" w:rsidRDefault="009B0F83" w:rsidP="00A038C7">
      <w:pPr>
        <w:pStyle w:val="Sansinterligne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9B0F83" w:rsidRDefault="009B0F83" w:rsidP="00C311C2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B0F8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Paul </w:t>
      </w:r>
      <w:r w:rsidRPr="00981D6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Ricœur</w:t>
      </w:r>
      <w:r w:rsidRPr="00981D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dans le chapitre « Qu’est-ce qu’un texte ? » de </w:t>
      </w:r>
      <w:r w:rsidRPr="00981D6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Du texte à l’action</w:t>
      </w:r>
      <w:r w:rsidR="00C311C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considère que </w:t>
      </w:r>
      <w:r w:rsidRPr="00981D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« le texte est un discours fixé par l’écriture »</w:t>
      </w:r>
      <w:r w:rsidRPr="009B0F8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981D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 philosophe en vient à suivre l’opinion courante et à réserver le mot </w:t>
      </w:r>
      <w:r w:rsidRPr="00981D6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texte</w:t>
      </w:r>
      <w:r w:rsidRPr="00981D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au domaine de l’écrit et le mot </w:t>
      </w:r>
      <w:r w:rsidRPr="00981D6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discours </w:t>
      </w:r>
      <w:r w:rsidRPr="00981D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 domaine de l’oral</w:t>
      </w:r>
      <w:r w:rsidR="00C311C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mais </w:t>
      </w:r>
      <w:r w:rsidRPr="00981D63">
        <w:rPr>
          <w:rFonts w:asciiTheme="majorBidi" w:hAnsiTheme="majorBidi" w:cstheme="majorBidi"/>
          <w:color w:val="000000"/>
          <w:sz w:val="24"/>
          <w:szCs w:val="24"/>
        </w:rPr>
        <w:t>de nombreux linguistes ne séparent pas </w:t>
      </w:r>
      <w:r w:rsidRPr="00981D63">
        <w:rPr>
          <w:rFonts w:asciiTheme="majorBidi" w:hAnsiTheme="majorBidi" w:cstheme="majorBidi"/>
          <w:i/>
          <w:iCs/>
          <w:color w:val="000000"/>
          <w:sz w:val="24"/>
          <w:szCs w:val="24"/>
        </w:rPr>
        <w:t>texte écrit</w:t>
      </w:r>
      <w:r w:rsidRPr="00981D63">
        <w:rPr>
          <w:rFonts w:asciiTheme="majorBidi" w:hAnsiTheme="majorBidi" w:cstheme="majorBidi"/>
          <w:color w:val="000000"/>
          <w:sz w:val="24"/>
          <w:szCs w:val="24"/>
        </w:rPr>
        <w:t> et</w:t>
      </w:r>
      <w:r w:rsidRPr="00981D63">
        <w:rPr>
          <w:rFonts w:asciiTheme="majorBidi" w:hAnsiTheme="majorBidi" w:cstheme="majorBidi"/>
          <w:i/>
          <w:iCs/>
          <w:color w:val="000000"/>
          <w:sz w:val="24"/>
          <w:szCs w:val="24"/>
        </w:rPr>
        <w:t> texte</w:t>
      </w:r>
      <w:r w:rsidRPr="00981D63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981D63">
        <w:rPr>
          <w:rFonts w:asciiTheme="majorBidi" w:hAnsiTheme="majorBidi" w:cstheme="majorBidi"/>
          <w:i/>
          <w:iCs/>
          <w:color w:val="000000"/>
          <w:sz w:val="24"/>
          <w:szCs w:val="24"/>
        </w:rPr>
        <w:t>oral</w:t>
      </w:r>
      <w:r w:rsidRPr="00981D63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DD301B" w:rsidRPr="00981D63" w:rsidRDefault="00DD301B" w:rsidP="002828D6">
      <w:pPr>
        <w:pStyle w:val="NormalWeb"/>
        <w:jc w:val="both"/>
        <w:rPr>
          <w:rFonts w:asciiTheme="majorBidi" w:hAnsiTheme="majorBidi" w:cstheme="majorBidi"/>
          <w:color w:val="000000"/>
        </w:rPr>
      </w:pPr>
      <w:r w:rsidRPr="00981D63">
        <w:rPr>
          <w:rFonts w:asciiTheme="majorBidi" w:hAnsiTheme="majorBidi" w:cstheme="majorBidi"/>
          <w:b/>
          <w:bCs/>
          <w:color w:val="000000"/>
        </w:rPr>
        <w:t>Récapitulons</w:t>
      </w:r>
      <w:r w:rsidRPr="00981D63">
        <w:rPr>
          <w:rFonts w:asciiTheme="majorBidi" w:hAnsiTheme="majorBidi" w:cstheme="majorBidi"/>
          <w:color w:val="000000"/>
        </w:rPr>
        <w:t xml:space="preserve"> : Le texte peut être une unité de longueur variable : une page extraite d'une </w:t>
      </w:r>
      <w:proofErr w:type="spellStart"/>
      <w:r w:rsidRPr="00981D63">
        <w:rPr>
          <w:rFonts w:asciiTheme="majorBidi" w:hAnsiTheme="majorBidi" w:cstheme="majorBidi"/>
          <w:color w:val="000000"/>
        </w:rPr>
        <w:t>oeuvre</w:t>
      </w:r>
      <w:proofErr w:type="spellEnd"/>
      <w:r w:rsidRPr="00981D63">
        <w:rPr>
          <w:rFonts w:asciiTheme="majorBidi" w:hAnsiTheme="majorBidi" w:cstheme="majorBidi"/>
          <w:color w:val="000000"/>
        </w:rPr>
        <w:t>, un chapitre, un livre, une trilogie, une fresque romanesque comme la </w:t>
      </w:r>
      <w:r w:rsidRPr="00981D63">
        <w:rPr>
          <w:rStyle w:val="Accentuation"/>
          <w:rFonts w:asciiTheme="majorBidi" w:hAnsiTheme="majorBidi" w:cstheme="majorBidi"/>
          <w:color w:val="000000"/>
        </w:rPr>
        <w:t>Comédie Humaine</w:t>
      </w:r>
      <w:r w:rsidRPr="00981D63">
        <w:rPr>
          <w:rFonts w:asciiTheme="majorBidi" w:hAnsiTheme="majorBidi" w:cstheme="majorBidi"/>
          <w:color w:val="000000"/>
        </w:rPr>
        <w:t xml:space="preserve"> de Balzac... On pourrait le définir, à la suite de H. </w:t>
      </w:r>
      <w:proofErr w:type="spellStart"/>
      <w:r w:rsidRPr="00981D63">
        <w:rPr>
          <w:rFonts w:asciiTheme="majorBidi" w:hAnsiTheme="majorBidi" w:cstheme="majorBidi"/>
          <w:color w:val="000000"/>
        </w:rPr>
        <w:t>Weinrich</w:t>
      </w:r>
      <w:proofErr w:type="spellEnd"/>
      <w:r w:rsidRPr="00981D63">
        <w:rPr>
          <w:rFonts w:asciiTheme="majorBidi" w:hAnsiTheme="majorBidi" w:cstheme="majorBidi"/>
          <w:color w:val="000000"/>
        </w:rPr>
        <w:t>,  comme une succession signifiante de signes linguistiques</w:t>
      </w:r>
      <w:r w:rsidR="002828D6">
        <w:rPr>
          <w:rFonts w:asciiTheme="majorBidi" w:hAnsiTheme="majorBidi" w:cstheme="majorBidi"/>
          <w:color w:val="000000"/>
        </w:rPr>
        <w:t xml:space="preserve"> […].</w:t>
      </w:r>
    </w:p>
    <w:p w:rsidR="00DD301B" w:rsidRPr="00981D63" w:rsidRDefault="00DD301B" w:rsidP="00DD301B">
      <w:pPr>
        <w:pStyle w:val="NormalWeb"/>
        <w:jc w:val="both"/>
        <w:rPr>
          <w:rFonts w:asciiTheme="majorBidi" w:hAnsiTheme="majorBidi" w:cstheme="majorBidi"/>
          <w:color w:val="000000"/>
        </w:rPr>
      </w:pPr>
      <w:r w:rsidRPr="00981D63">
        <w:rPr>
          <w:rFonts w:asciiTheme="majorBidi" w:hAnsiTheme="majorBidi" w:cstheme="majorBidi"/>
          <w:color w:val="000000"/>
        </w:rPr>
        <w:t>Pour qu'il y ait texte, il faut qu'une séquence d'éléments linguistiques ait une existence concrète, matérielle, qu'elle constitue une énonciation dans le cadre d'un acte de communication interpersonnelle.</w:t>
      </w:r>
    </w:p>
    <w:p w:rsidR="00DD301B" w:rsidRDefault="00DD301B" w:rsidP="00DD301B">
      <w:pPr>
        <w:pStyle w:val="NormalWeb"/>
        <w:jc w:val="both"/>
        <w:rPr>
          <w:rFonts w:asciiTheme="majorBidi" w:hAnsiTheme="majorBidi" w:cstheme="majorBidi"/>
          <w:color w:val="000000"/>
        </w:rPr>
      </w:pPr>
      <w:r w:rsidRPr="00981D63">
        <w:rPr>
          <w:rFonts w:asciiTheme="majorBidi" w:hAnsiTheme="majorBidi" w:cstheme="majorBidi"/>
          <w:color w:val="000000"/>
        </w:rPr>
        <w:t>Le principe constituant de la textualité est la </w:t>
      </w:r>
      <w:r w:rsidRPr="00981D63">
        <w:rPr>
          <w:rFonts w:asciiTheme="majorBidi" w:hAnsiTheme="majorBidi" w:cstheme="majorBidi"/>
          <w:b/>
          <w:bCs/>
          <w:color w:val="000000"/>
        </w:rPr>
        <w:t>cohérence</w:t>
      </w:r>
      <w:r w:rsidRPr="00981D63">
        <w:rPr>
          <w:rFonts w:asciiTheme="majorBidi" w:hAnsiTheme="majorBidi" w:cstheme="majorBidi"/>
          <w:color w:val="000000"/>
        </w:rPr>
        <w:t> : c'est pour le texte un concept équivalent à celui de la grammaticalité en ce qui concerne la phrase. </w:t>
      </w:r>
      <w:r w:rsidRPr="00981D63">
        <w:rPr>
          <w:rStyle w:val="lev"/>
          <w:rFonts w:asciiTheme="majorBidi" w:hAnsiTheme="majorBidi" w:cstheme="majorBidi"/>
          <w:color w:val="FF0000"/>
        </w:rPr>
        <w:t>Un texte n'est pas la simple juxtaposition de phrases</w:t>
      </w:r>
      <w:r w:rsidRPr="00981D63">
        <w:rPr>
          <w:rFonts w:asciiTheme="majorBidi" w:hAnsiTheme="majorBidi" w:cstheme="majorBidi"/>
          <w:color w:val="000000"/>
        </w:rPr>
        <w:t>.</w:t>
      </w:r>
    </w:p>
    <w:p w:rsidR="00016C83" w:rsidRDefault="00016C83" w:rsidP="00DD301B">
      <w:pPr>
        <w:pStyle w:val="NormalWeb"/>
        <w:jc w:val="both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lastRenderedPageBreak/>
        <w:t xml:space="preserve">II- La notion de </w:t>
      </w:r>
      <w:proofErr w:type="spellStart"/>
      <w:r>
        <w:rPr>
          <w:rFonts w:asciiTheme="majorBidi" w:hAnsiTheme="majorBidi" w:cstheme="majorBidi"/>
          <w:b/>
          <w:bCs/>
          <w:color w:val="000000"/>
        </w:rPr>
        <w:t>paratexte</w:t>
      </w:r>
      <w:proofErr w:type="spellEnd"/>
    </w:p>
    <w:p w:rsidR="004157C2" w:rsidRDefault="004157C2" w:rsidP="004157C2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Etudier un texte, c’est</w:t>
      </w:r>
      <w:r w:rsidRPr="004157C2">
        <w:rPr>
          <w:rFonts w:asciiTheme="majorBidi" w:hAnsiTheme="majorBidi" w:cstheme="majorBidi"/>
          <w:sz w:val="24"/>
          <w:szCs w:val="24"/>
        </w:rPr>
        <w:t xml:space="preserve"> effectuer un travail intellectuel consacré à l’observation et à l’examen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157C2">
        <w:rPr>
          <w:rFonts w:asciiTheme="majorBidi" w:hAnsiTheme="majorBidi" w:cstheme="majorBidi"/>
          <w:sz w:val="24"/>
          <w:szCs w:val="24"/>
        </w:rPr>
        <w:t xml:space="preserve">propriétés, des caractéristiques d’un écrit, ou d’une œuvre. Et parmi ces caractéristiques, </w:t>
      </w:r>
      <w:r>
        <w:rPr>
          <w:rFonts w:asciiTheme="majorBidi" w:hAnsiTheme="majorBidi" w:cstheme="majorBidi"/>
          <w:sz w:val="24"/>
          <w:szCs w:val="24"/>
        </w:rPr>
        <w:t xml:space="preserve">il y a </w:t>
      </w:r>
      <w:r w:rsidRPr="004157C2">
        <w:rPr>
          <w:rFonts w:asciiTheme="majorBidi" w:hAnsiTheme="majorBidi" w:cstheme="majorBidi"/>
          <w:sz w:val="24"/>
          <w:szCs w:val="24"/>
        </w:rPr>
        <w:t>son</w:t>
      </w:r>
      <w:r>
        <w:rPr>
          <w:rFonts w:asciiTheme="majorBidi" w:hAnsiTheme="majorBidi" w:cstheme="majorBidi"/>
          <w:sz w:val="24"/>
          <w:szCs w:val="24"/>
        </w:rPr>
        <w:t xml:space="preserve"> aspect extérieur. Sa </w:t>
      </w:r>
      <w:r w:rsidRPr="004157C2">
        <w:rPr>
          <w:rFonts w:asciiTheme="majorBidi" w:hAnsiTheme="majorBidi" w:cstheme="majorBidi"/>
          <w:sz w:val="24"/>
          <w:szCs w:val="24"/>
        </w:rPr>
        <w:t xml:space="preserve">présentation aux lecteurs. Il s’agit de son </w:t>
      </w:r>
      <w:proofErr w:type="spellStart"/>
      <w:r w:rsidRPr="004157C2">
        <w:rPr>
          <w:rFonts w:asciiTheme="majorBidi" w:hAnsiTheme="majorBidi" w:cstheme="majorBidi"/>
          <w:i/>
          <w:iCs/>
          <w:sz w:val="24"/>
          <w:szCs w:val="24"/>
        </w:rPr>
        <w:t>Paratexte</w:t>
      </w:r>
      <w:proofErr w:type="spellEnd"/>
      <w:r w:rsidRPr="004157C2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AF681D" w:rsidRDefault="00AF681D" w:rsidP="004157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681D">
        <w:rPr>
          <w:rFonts w:asciiTheme="majorBidi" w:hAnsiTheme="majorBidi" w:cstheme="majorBidi"/>
          <w:b/>
          <w:bCs/>
          <w:sz w:val="24"/>
          <w:szCs w:val="24"/>
        </w:rPr>
        <w:t xml:space="preserve">Qu’est-ce que le </w:t>
      </w:r>
      <w:proofErr w:type="spellStart"/>
      <w:r w:rsidRPr="00AF681D">
        <w:rPr>
          <w:rFonts w:asciiTheme="majorBidi" w:hAnsiTheme="majorBidi" w:cstheme="majorBidi"/>
          <w:b/>
          <w:bCs/>
          <w:sz w:val="24"/>
          <w:szCs w:val="24"/>
        </w:rPr>
        <w:t>paratexte</w:t>
      </w:r>
      <w:proofErr w:type="spellEnd"/>
      <w:r w:rsidRPr="00AF681D">
        <w:rPr>
          <w:rFonts w:asciiTheme="majorBidi" w:hAnsiTheme="majorBidi" w:cstheme="majorBidi"/>
          <w:b/>
          <w:bCs/>
          <w:sz w:val="24"/>
          <w:szCs w:val="24"/>
        </w:rPr>
        <w:t xml:space="preserve"> ?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37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Dans son ouvrage </w:t>
      </w:r>
      <w:r w:rsidRPr="00EA379A">
        <w:rPr>
          <w:rStyle w:val="Accentuation"/>
          <w:rFonts w:asciiTheme="majorBidi" w:hAnsiTheme="majorBidi" w:cstheme="majorBidi"/>
          <w:color w:val="333333"/>
          <w:sz w:val="24"/>
          <w:szCs w:val="24"/>
          <w:bdr w:val="none" w:sz="0" w:space="0" w:color="auto" w:frame="1"/>
          <w:shd w:val="clear" w:color="auto" w:fill="FFFFFF"/>
        </w:rPr>
        <w:t>Seuils</w:t>
      </w:r>
      <w:r w:rsidR="0023183A">
        <w:rPr>
          <w:rStyle w:val="Appelnotedebasdep"/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footnoteReference w:id="1"/>
      </w:r>
      <w:r w:rsidRPr="00EA37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Gérard Genette définit et analyse ce qu’il nomme « </w:t>
      </w:r>
      <w:proofErr w:type="spellStart"/>
      <w:r w:rsidRPr="00EA37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paratexte</w:t>
      </w:r>
      <w:proofErr w:type="spellEnd"/>
      <w:r w:rsidRPr="00EA37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 ». Le </w:t>
      </w:r>
      <w:proofErr w:type="spellStart"/>
      <w:r w:rsidRPr="00EA37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paratexte</w:t>
      </w:r>
      <w:proofErr w:type="spellEnd"/>
      <w:r w:rsidRPr="00EA379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renvoie à tout ce qui entoure et prolonge le texte sans être le texte proprement dit.</w:t>
      </w:r>
      <w:r w:rsidRPr="00AF681D">
        <w:rPr>
          <w:rFonts w:ascii="Calibri" w:hAnsi="Calibri" w:cs="Calibri"/>
          <w:sz w:val="24"/>
          <w:szCs w:val="24"/>
        </w:rPr>
        <w:t xml:space="preserve"> </w:t>
      </w:r>
      <w:r w:rsidRPr="00AF681D">
        <w:rPr>
          <w:rFonts w:asciiTheme="majorBidi" w:hAnsiTheme="majorBidi" w:cstheme="majorBidi"/>
          <w:sz w:val="24"/>
          <w:szCs w:val="24"/>
        </w:rPr>
        <w:t>C’est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681D">
        <w:rPr>
          <w:rFonts w:asciiTheme="majorBidi" w:hAnsiTheme="majorBidi" w:cstheme="majorBidi"/>
          <w:sz w:val="24"/>
          <w:szCs w:val="24"/>
        </w:rPr>
        <w:t>seuil entre le texte et le hors-texte et qui se compose d’un ensemble hétéroclite de pratiques et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681D">
        <w:rPr>
          <w:rFonts w:asciiTheme="majorBidi" w:hAnsiTheme="majorBidi" w:cstheme="majorBidi"/>
          <w:sz w:val="24"/>
          <w:szCs w:val="24"/>
        </w:rPr>
        <w:t>discours dont la fonction principale est d’entourer le texte, le présenter ou le mettre en valeur afin de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681D">
        <w:rPr>
          <w:rFonts w:asciiTheme="majorBidi" w:hAnsiTheme="majorBidi" w:cstheme="majorBidi"/>
          <w:sz w:val="24"/>
          <w:szCs w:val="24"/>
        </w:rPr>
        <w:t>vendre.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Benoit MITAINE</w:t>
      </w:r>
      <w:r w:rsidRPr="00301EAC">
        <w:rPr>
          <w:rFonts w:ascii="ff1" w:eastAsia="Times New Roman" w:hAnsi="ff1" w:cs="Times New Roman"/>
          <w:color w:val="000000"/>
          <w:position w:val="17"/>
          <w:sz w:val="26"/>
          <w:lang w:eastAsia="fr-FR"/>
        </w:rPr>
        <w:t>4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explique que « Le </w:t>
      </w:r>
      <w:proofErr w:type="spell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paratexte</w:t>
      </w:r>
      <w:proofErr w:type="spellEnd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est, selon la double étymologie du préfixe grec para-, l'ensemble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proofErr w:type="gram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des</w:t>
      </w:r>
      <w:proofErr w:type="gramEnd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pages et messages qui entourent et protègent le texte. Sa fonction relève autant de la protection physique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(</w:t>
      </w:r>
      <w:proofErr w:type="gram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couverture</w:t>
      </w:r>
      <w:proofErr w:type="gramEnd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pages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de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gardes)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ou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symbolique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(prologue,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préface,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postface,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épigraphe,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etc.),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que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de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proofErr w:type="gram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l'identification</w:t>
      </w:r>
      <w:proofErr w:type="gramEnd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(nom de l'auteur, titre de l'ouvrage, nom de l'éditeur, lieu et date d'édition, lieu d'impression, nom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proofErr w:type="gram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de</w:t>
      </w:r>
      <w:proofErr w:type="gramEnd"/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la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collection,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code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barre,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etc.),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de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l'organisation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(table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des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matières,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bibliographie,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répertoire,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index,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proofErr w:type="gram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annexes</w:t>
      </w:r>
      <w:proofErr w:type="gramEnd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), de la distinction (couverture souple ou rigide, format du livre, choix du papier) ou de la séduction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(</w:t>
      </w:r>
      <w:proofErr w:type="gram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jaquette</w:t>
      </w:r>
      <w:proofErr w:type="gramEnd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, illustration de surface, graphisme, etc.). 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Benoit MITAINE</w:t>
      </w:r>
      <w:r w:rsidRPr="00301EAC">
        <w:rPr>
          <w:rFonts w:ascii="ff1" w:eastAsia="Times New Roman" w:hAnsi="ff1" w:cs="Times New Roman"/>
          <w:color w:val="000000"/>
          <w:position w:val="17"/>
          <w:sz w:val="26"/>
          <w:lang w:eastAsia="fr-FR"/>
        </w:rPr>
        <w:t>4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explique que « Le </w:t>
      </w:r>
      <w:proofErr w:type="spell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paratexte</w:t>
      </w:r>
      <w:proofErr w:type="spellEnd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est, selon la double étymologie du préfixe grec para-, l'ensemble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proofErr w:type="gram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des</w:t>
      </w:r>
      <w:proofErr w:type="gramEnd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pages et messages qui entourent et protègent le texte. Sa fonction relève autant de la protection physique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(</w:t>
      </w:r>
      <w:proofErr w:type="gram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couverture</w:t>
      </w:r>
      <w:proofErr w:type="gramEnd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pages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de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gardes)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ou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symbolique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(prologue,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préface,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postface,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épigraphe,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etc.),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que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de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proofErr w:type="gram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l'identification</w:t>
      </w:r>
      <w:proofErr w:type="gramEnd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(nom de l'auteur, titre de l'ouvrage, nom de l'éditeur, lieu et date d'édition, lieu d'impression, nom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proofErr w:type="gram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de</w:t>
      </w:r>
      <w:proofErr w:type="gramEnd"/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la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collection,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code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barre,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etc.),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de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l'organisation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(table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des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matières,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bibliographie,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répertoire,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lang w:eastAsia="fr-FR"/>
        </w:rPr>
        <w:t xml:space="preserve"> </w:t>
      </w: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index,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proofErr w:type="gram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annexes</w:t>
      </w:r>
      <w:proofErr w:type="gramEnd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), de la distinction (couverture souple ou rigide, format du livre, choix du papier) ou de la séduction</w:t>
      </w:r>
    </w:p>
    <w:p w:rsidR="00301EAC" w:rsidRPr="00301EAC" w:rsidRDefault="00301EAC" w:rsidP="00301EA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4"/>
          <w:szCs w:val="44"/>
          <w:lang w:eastAsia="fr-FR"/>
        </w:rPr>
      </w:pPr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(</w:t>
      </w:r>
      <w:proofErr w:type="gramStart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>jaquette</w:t>
      </w:r>
      <w:proofErr w:type="gramEnd"/>
      <w:r w:rsidRPr="00301EAC">
        <w:rPr>
          <w:rFonts w:ascii="ff1" w:eastAsia="Times New Roman" w:hAnsi="ff1" w:cs="Times New Roman"/>
          <w:color w:val="000000"/>
          <w:sz w:val="44"/>
          <w:szCs w:val="44"/>
          <w:lang w:eastAsia="fr-FR"/>
        </w:rPr>
        <w:t xml:space="preserve">, illustration de surface, graphisme, etc.). </w:t>
      </w:r>
    </w:p>
    <w:p w:rsidR="00301EAC" w:rsidRDefault="00301EAC" w:rsidP="00AF68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D301B" w:rsidRDefault="00301EAC" w:rsidP="00F107E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Benoit MITAINE explique que </w:t>
      </w:r>
      <w:r w:rsidRPr="00301EAC">
        <w:rPr>
          <w:rFonts w:asciiTheme="majorBidi" w:hAnsiTheme="majorBidi" w:cstheme="majorBidi"/>
          <w:sz w:val="24"/>
          <w:szCs w:val="24"/>
        </w:rPr>
        <w:t xml:space="preserve">« Le </w:t>
      </w:r>
      <w:proofErr w:type="spellStart"/>
      <w:r w:rsidRPr="00301EAC">
        <w:rPr>
          <w:rFonts w:asciiTheme="majorBidi" w:hAnsiTheme="majorBidi" w:cstheme="majorBidi"/>
          <w:sz w:val="24"/>
          <w:szCs w:val="24"/>
        </w:rPr>
        <w:t>paratexte</w:t>
      </w:r>
      <w:proofErr w:type="spellEnd"/>
      <w:r w:rsidRPr="00301EAC">
        <w:rPr>
          <w:rFonts w:asciiTheme="majorBidi" w:hAnsiTheme="majorBidi" w:cstheme="majorBidi"/>
          <w:sz w:val="24"/>
          <w:szCs w:val="24"/>
        </w:rPr>
        <w:t xml:space="preserve"> est, selon la double étymologie du préfixe grec para-, l'ensemble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1EAC">
        <w:rPr>
          <w:rFonts w:asciiTheme="majorBidi" w:hAnsiTheme="majorBidi" w:cstheme="majorBidi"/>
          <w:sz w:val="24"/>
          <w:szCs w:val="24"/>
        </w:rPr>
        <w:t>des pages et messages qui entourent et protègent le texte. Sa fonction relève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1EAC">
        <w:rPr>
          <w:rFonts w:asciiTheme="majorBidi" w:hAnsiTheme="majorBidi" w:cstheme="majorBidi"/>
          <w:sz w:val="24"/>
          <w:szCs w:val="24"/>
        </w:rPr>
        <w:t>autant de la protection physique (couverture, pages de gardes) ou symbolique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1EAC">
        <w:rPr>
          <w:rFonts w:asciiTheme="majorBidi" w:hAnsiTheme="majorBidi" w:cstheme="majorBidi"/>
          <w:sz w:val="24"/>
          <w:szCs w:val="24"/>
        </w:rPr>
        <w:t>(prologue, préface, postface, épigraphe, etc.), que de l'identification (nom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1EAC">
        <w:rPr>
          <w:rFonts w:asciiTheme="majorBidi" w:hAnsiTheme="majorBidi" w:cstheme="majorBidi"/>
          <w:sz w:val="24"/>
          <w:szCs w:val="24"/>
        </w:rPr>
        <w:t>l'auteur, titre de l'ouvrage, nom de l'éditeur, lieu et date d'édition, lieu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1EAC">
        <w:rPr>
          <w:rFonts w:asciiTheme="majorBidi" w:hAnsiTheme="majorBidi" w:cstheme="majorBidi"/>
          <w:sz w:val="24"/>
          <w:szCs w:val="24"/>
        </w:rPr>
        <w:t>d'impression, nom de la collection, code barre, etc.), de l'organisation (table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1EAC">
        <w:rPr>
          <w:rFonts w:asciiTheme="majorBidi" w:hAnsiTheme="majorBidi" w:cstheme="majorBidi"/>
          <w:sz w:val="24"/>
          <w:szCs w:val="24"/>
        </w:rPr>
        <w:t>matières, bibliographie, répertoire, index, annexes), de la distinction (couverture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1EAC">
        <w:rPr>
          <w:rFonts w:asciiTheme="majorBidi" w:hAnsiTheme="majorBidi" w:cstheme="majorBidi"/>
          <w:sz w:val="24"/>
          <w:szCs w:val="24"/>
        </w:rPr>
        <w:t>souple ou rigide, format du livre, choix du papier) ou de la séduction (jaquette,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1EAC">
        <w:rPr>
          <w:rFonts w:asciiTheme="majorBidi" w:hAnsiTheme="majorBidi" w:cstheme="majorBidi"/>
          <w:sz w:val="24"/>
          <w:szCs w:val="24"/>
        </w:rPr>
        <w:t>illustration de surface, graphisme, etc.) »</w:t>
      </w:r>
      <w:r w:rsidR="00DC1AB6">
        <w:rPr>
          <w:rStyle w:val="Appelnotedebasdep"/>
          <w:rFonts w:asciiTheme="majorBidi" w:hAnsiTheme="majorBidi" w:cstheme="majorBidi"/>
          <w:sz w:val="24"/>
          <w:szCs w:val="24"/>
        </w:rPr>
        <w:footnoteReference w:id="2"/>
      </w:r>
    </w:p>
    <w:p w:rsidR="00F107E2" w:rsidRDefault="00F107E2" w:rsidP="00F107E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107E2" w:rsidRPr="00F107E2" w:rsidRDefault="00F107E2" w:rsidP="00F107E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681D">
        <w:rPr>
          <w:rFonts w:asciiTheme="majorBidi" w:hAnsiTheme="majorBidi" w:cstheme="majorBidi"/>
          <w:b/>
          <w:bCs/>
          <w:sz w:val="24"/>
          <w:szCs w:val="24"/>
        </w:rPr>
        <w:t xml:space="preserve">Les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constituants du </w:t>
      </w:r>
      <w:proofErr w:type="spellStart"/>
      <w:r w:rsidR="00031FA7" w:rsidRPr="00AF681D">
        <w:rPr>
          <w:rFonts w:asciiTheme="majorBidi" w:hAnsiTheme="majorBidi" w:cstheme="majorBidi"/>
          <w:b/>
          <w:bCs/>
          <w:sz w:val="24"/>
          <w:szCs w:val="24"/>
        </w:rPr>
        <w:t>paratexte</w:t>
      </w:r>
      <w:proofErr w:type="spellEnd"/>
      <w:r w:rsidR="00031FA7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E67FFE">
        <w:rPr>
          <w:rFonts w:asciiTheme="majorBidi" w:hAnsiTheme="majorBidi" w:cstheme="majorBidi"/>
          <w:sz w:val="24"/>
          <w:szCs w:val="24"/>
        </w:rPr>
        <w:t xml:space="preserve"> </w:t>
      </w:r>
      <w:r w:rsidR="00E67FFE" w:rsidRPr="00E67FFE">
        <w:rPr>
          <w:rFonts w:asciiTheme="majorBidi" w:hAnsiTheme="majorBidi" w:cstheme="majorBidi"/>
          <w:sz w:val="24"/>
          <w:szCs w:val="24"/>
        </w:rPr>
        <w:t>ce</w:t>
      </w:r>
      <w:r w:rsidR="00E67F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67FFE" w:rsidRPr="00E67FFE">
        <w:rPr>
          <w:rFonts w:asciiTheme="majorBidi" w:hAnsiTheme="majorBidi" w:cstheme="majorBidi"/>
          <w:sz w:val="24"/>
          <w:szCs w:val="24"/>
        </w:rPr>
        <w:t>sont</w:t>
      </w:r>
      <w:r w:rsidR="00E67F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67FFE" w:rsidRPr="00E67FFE">
        <w:rPr>
          <w:rFonts w:asciiTheme="majorBidi" w:hAnsiTheme="majorBidi" w:cstheme="majorBidi"/>
          <w:sz w:val="24"/>
          <w:szCs w:val="24"/>
        </w:rPr>
        <w:t>en général</w:t>
      </w:r>
      <w:r w:rsidR="00E67F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67FFE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 nom de l’auteur, le titre de l’œuvre, la date de publication, l’édition.</w:t>
      </w:r>
    </w:p>
    <w:p w:rsidR="00F107E2" w:rsidRPr="00E67FFE" w:rsidRDefault="00F107E2" w:rsidP="00F107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67FFE"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proofErr w:type="spellStart"/>
      <w:r w:rsidRPr="00E67FFE">
        <w:rPr>
          <w:rFonts w:asciiTheme="majorBidi" w:hAnsiTheme="majorBidi" w:cstheme="majorBidi"/>
          <w:b/>
          <w:bCs/>
          <w:sz w:val="24"/>
          <w:szCs w:val="24"/>
        </w:rPr>
        <w:t>péritexte</w:t>
      </w:r>
      <w:proofErr w:type="spellEnd"/>
      <w:r w:rsidRPr="00E67FFE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  <w:r w:rsidRPr="00E67FFE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E67FFE">
        <w:rPr>
          <w:rFonts w:asciiTheme="majorBidi" w:hAnsiTheme="majorBidi" w:cstheme="majorBidi"/>
          <w:sz w:val="24"/>
          <w:szCs w:val="24"/>
        </w:rPr>
        <w:t>péritexte</w:t>
      </w:r>
      <w:proofErr w:type="spellEnd"/>
      <w:r w:rsidRPr="00E67FFE">
        <w:rPr>
          <w:rFonts w:asciiTheme="majorBidi" w:hAnsiTheme="majorBidi" w:cstheme="majorBidi"/>
          <w:sz w:val="24"/>
          <w:szCs w:val="24"/>
        </w:rPr>
        <w:t xml:space="preserve"> se place à l’intérieur du livre et se compose de :</w:t>
      </w:r>
    </w:p>
    <w:p w:rsidR="00F107E2" w:rsidRPr="00E67FFE" w:rsidRDefault="00F107E2" w:rsidP="00E67F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67F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7FFE">
        <w:rPr>
          <w:rFonts w:asciiTheme="majorBidi" w:hAnsiTheme="majorBidi" w:cstheme="majorBidi"/>
          <w:sz w:val="24"/>
          <w:szCs w:val="24"/>
        </w:rPr>
        <w:t>La préface</w:t>
      </w:r>
      <w:r w:rsidR="00E67FFE">
        <w:rPr>
          <w:rFonts w:asciiTheme="majorBidi" w:hAnsiTheme="majorBidi" w:cstheme="majorBidi"/>
          <w:sz w:val="24"/>
          <w:szCs w:val="24"/>
        </w:rPr>
        <w:t>-</w:t>
      </w:r>
      <w:r w:rsidRPr="00E67F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7FFE">
        <w:rPr>
          <w:rFonts w:asciiTheme="majorBidi" w:hAnsiTheme="majorBidi" w:cstheme="majorBidi"/>
          <w:sz w:val="24"/>
          <w:szCs w:val="24"/>
        </w:rPr>
        <w:t>La postface</w:t>
      </w:r>
      <w:r w:rsidR="00E67FFE">
        <w:rPr>
          <w:rFonts w:asciiTheme="majorBidi" w:hAnsiTheme="majorBidi" w:cstheme="majorBidi"/>
          <w:sz w:val="24"/>
          <w:szCs w:val="24"/>
        </w:rPr>
        <w:t>-</w:t>
      </w:r>
      <w:r w:rsidRPr="00E67F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7FFE">
        <w:rPr>
          <w:rFonts w:asciiTheme="majorBidi" w:hAnsiTheme="majorBidi" w:cstheme="majorBidi"/>
          <w:sz w:val="24"/>
          <w:szCs w:val="24"/>
        </w:rPr>
        <w:t>Les épigraphes</w:t>
      </w:r>
      <w:r w:rsidR="00E67FFE">
        <w:rPr>
          <w:rFonts w:asciiTheme="majorBidi" w:hAnsiTheme="majorBidi" w:cstheme="majorBidi"/>
          <w:sz w:val="24"/>
          <w:szCs w:val="24"/>
        </w:rPr>
        <w:t>-</w:t>
      </w:r>
      <w:r w:rsidRPr="00E67F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7FFE">
        <w:rPr>
          <w:rFonts w:asciiTheme="majorBidi" w:hAnsiTheme="majorBidi" w:cstheme="majorBidi"/>
          <w:sz w:val="24"/>
          <w:szCs w:val="24"/>
        </w:rPr>
        <w:t>Les notes de bas de page</w:t>
      </w:r>
      <w:r w:rsidR="00E67FFE">
        <w:rPr>
          <w:rFonts w:asciiTheme="majorBidi" w:hAnsiTheme="majorBidi" w:cstheme="majorBidi"/>
          <w:sz w:val="24"/>
          <w:szCs w:val="24"/>
        </w:rPr>
        <w:t>-</w:t>
      </w:r>
      <w:r w:rsidRPr="00E67FFE">
        <w:rPr>
          <w:rFonts w:asciiTheme="majorBidi" w:hAnsiTheme="majorBidi" w:cstheme="majorBidi"/>
          <w:sz w:val="24"/>
          <w:szCs w:val="24"/>
        </w:rPr>
        <w:t>La dédicace</w:t>
      </w:r>
      <w:r w:rsidR="00E67FFE">
        <w:rPr>
          <w:rFonts w:asciiTheme="majorBidi" w:hAnsiTheme="majorBidi" w:cstheme="majorBidi"/>
          <w:sz w:val="24"/>
          <w:szCs w:val="24"/>
        </w:rPr>
        <w:t>-</w:t>
      </w:r>
      <w:r w:rsidRPr="00E67F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7FFE">
        <w:rPr>
          <w:rFonts w:asciiTheme="majorBidi" w:hAnsiTheme="majorBidi" w:cstheme="majorBidi"/>
          <w:sz w:val="24"/>
          <w:szCs w:val="24"/>
        </w:rPr>
        <w:t>Les renvois</w:t>
      </w:r>
    </w:p>
    <w:p w:rsidR="00F107E2" w:rsidRDefault="00F107E2" w:rsidP="00E67F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67F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67FFE">
        <w:rPr>
          <w:rFonts w:asciiTheme="majorBidi" w:hAnsiTheme="majorBidi" w:cstheme="majorBidi"/>
          <w:sz w:val="24"/>
          <w:szCs w:val="24"/>
        </w:rPr>
        <w:t>La première de couverture -</w:t>
      </w:r>
      <w:r w:rsidRPr="00E67FFE">
        <w:rPr>
          <w:rFonts w:asciiTheme="majorBidi" w:hAnsiTheme="majorBidi" w:cstheme="majorBidi"/>
          <w:sz w:val="24"/>
          <w:szCs w:val="24"/>
        </w:rPr>
        <w:t>La quatrième de couverture</w:t>
      </w:r>
      <w:r w:rsidR="00E67FFE">
        <w:rPr>
          <w:rFonts w:asciiTheme="majorBidi" w:hAnsiTheme="majorBidi" w:cstheme="majorBidi"/>
          <w:sz w:val="24"/>
          <w:szCs w:val="24"/>
        </w:rPr>
        <w:t xml:space="preserve">- </w:t>
      </w:r>
      <w:r w:rsidRPr="00E67FFE">
        <w:rPr>
          <w:rFonts w:asciiTheme="majorBidi" w:hAnsiTheme="majorBidi" w:cstheme="majorBidi"/>
          <w:sz w:val="24"/>
          <w:szCs w:val="24"/>
        </w:rPr>
        <w:t>La page de titre</w:t>
      </w:r>
      <w:r w:rsidR="00E67FFE">
        <w:rPr>
          <w:rFonts w:asciiTheme="majorBidi" w:hAnsiTheme="majorBidi" w:cstheme="majorBidi"/>
          <w:sz w:val="24"/>
          <w:szCs w:val="24"/>
        </w:rPr>
        <w:t>.</w:t>
      </w:r>
    </w:p>
    <w:p w:rsidR="00E67FFE" w:rsidRPr="00E67FFE" w:rsidRDefault="00E67FFE" w:rsidP="00E67F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107E2" w:rsidRDefault="00F107E2" w:rsidP="00260D3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67FFE">
        <w:rPr>
          <w:rFonts w:asciiTheme="majorBidi" w:hAnsiTheme="majorBidi" w:cstheme="majorBidi"/>
          <w:b/>
          <w:bCs/>
          <w:sz w:val="24"/>
          <w:szCs w:val="24"/>
        </w:rPr>
        <w:t>L’</w:t>
      </w:r>
      <w:proofErr w:type="spellStart"/>
      <w:r w:rsidRPr="00E67FFE">
        <w:rPr>
          <w:rFonts w:asciiTheme="majorBidi" w:hAnsiTheme="majorBidi" w:cstheme="majorBidi"/>
          <w:b/>
          <w:bCs/>
          <w:sz w:val="24"/>
          <w:szCs w:val="24"/>
        </w:rPr>
        <w:t>épitexte</w:t>
      </w:r>
      <w:proofErr w:type="spellEnd"/>
      <w:r w:rsidRPr="00E67FFE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  <w:r w:rsidRPr="00E67FFE">
        <w:rPr>
          <w:rFonts w:asciiTheme="majorBidi" w:hAnsiTheme="majorBidi" w:cstheme="majorBidi"/>
          <w:sz w:val="24"/>
          <w:szCs w:val="24"/>
        </w:rPr>
        <w:t>regroupe tous les éléments en rapport direct avec l’ouvrage mais se situant à</w:t>
      </w:r>
      <w:r w:rsidR="00E67FFE">
        <w:rPr>
          <w:rFonts w:asciiTheme="majorBidi" w:hAnsiTheme="majorBidi" w:cstheme="majorBidi"/>
          <w:sz w:val="24"/>
          <w:szCs w:val="24"/>
        </w:rPr>
        <w:t xml:space="preserve"> </w:t>
      </w:r>
      <w:r w:rsidRPr="00E67FFE">
        <w:rPr>
          <w:rFonts w:asciiTheme="majorBidi" w:hAnsiTheme="majorBidi" w:cstheme="majorBidi"/>
          <w:sz w:val="24"/>
          <w:szCs w:val="24"/>
        </w:rPr>
        <w:t>l’extérieur du livre comme par exemple : la publicité, interviews, articles de critique,</w:t>
      </w:r>
      <w:r w:rsidR="00E67FFE">
        <w:rPr>
          <w:rFonts w:asciiTheme="majorBidi" w:hAnsiTheme="majorBidi" w:cstheme="majorBidi"/>
          <w:sz w:val="24"/>
          <w:szCs w:val="24"/>
        </w:rPr>
        <w:t xml:space="preserve"> </w:t>
      </w:r>
      <w:r w:rsidRPr="00E67FFE">
        <w:rPr>
          <w:rFonts w:asciiTheme="majorBidi" w:hAnsiTheme="majorBidi" w:cstheme="majorBidi"/>
          <w:sz w:val="24"/>
          <w:szCs w:val="24"/>
        </w:rPr>
        <w:t>présentation en librairie, etc.</w:t>
      </w:r>
    </w:p>
    <w:p w:rsidR="00753FD0" w:rsidRPr="00E67FFE" w:rsidRDefault="00753FD0" w:rsidP="00E67F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154C" w:rsidRPr="00753FD0" w:rsidRDefault="00031FA7" w:rsidP="00753FD0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753FD0">
        <w:rPr>
          <w:rFonts w:asciiTheme="majorBidi" w:hAnsiTheme="majorBidi" w:cstheme="majorBidi"/>
          <w:b/>
          <w:bCs/>
          <w:sz w:val="24"/>
          <w:szCs w:val="24"/>
          <w:lang w:eastAsia="fr-FR"/>
        </w:rPr>
        <w:t>III- Contexte et cotexte</w:t>
      </w:r>
    </w:p>
    <w:p w:rsidR="00753FD0" w:rsidRPr="00753FD0" w:rsidRDefault="00753FD0" w:rsidP="00753FD0">
      <w:pPr>
        <w:pStyle w:val="Sansinterligne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>« </w:t>
      </w:r>
      <w:r w:rsidRPr="00753FD0">
        <w:rPr>
          <w:rFonts w:asciiTheme="majorBidi" w:hAnsiTheme="majorBidi" w:cstheme="majorBidi"/>
          <w:sz w:val="24"/>
          <w:szCs w:val="24"/>
          <w:lang w:eastAsia="fr-FR"/>
        </w:rPr>
        <w:t xml:space="preserve">Le </w:t>
      </w:r>
      <w:r w:rsidRPr="00FF0F88">
        <w:rPr>
          <w:rFonts w:asciiTheme="majorBidi" w:hAnsiTheme="majorBidi" w:cstheme="majorBidi"/>
          <w:b/>
          <w:bCs/>
          <w:sz w:val="24"/>
          <w:szCs w:val="24"/>
          <w:lang w:eastAsia="fr-FR"/>
        </w:rPr>
        <w:t>cotexte</w:t>
      </w:r>
      <w:r w:rsidRPr="00753FD0">
        <w:rPr>
          <w:rFonts w:asciiTheme="majorBidi" w:hAnsiTheme="majorBidi" w:cstheme="majorBidi"/>
          <w:sz w:val="24"/>
          <w:szCs w:val="24"/>
          <w:lang w:eastAsia="fr-FR"/>
        </w:rPr>
        <w:t xml:space="preserve"> constitue l’environnement verbal d’une unité linguistique, alors que le contexte</w:t>
      </w:r>
      <w:r>
        <w:rPr>
          <w:rFonts w:asciiTheme="majorBidi" w:hAnsiTheme="majorBidi" w:cstheme="majorBidi"/>
          <w:sz w:val="24"/>
          <w:szCs w:val="24"/>
          <w:lang w:eastAsia="fr-FR"/>
        </w:rPr>
        <w:t xml:space="preserve">, selon cette distinction correspond à l’environnement non verbal de l’unité, comprenant tout ce qui a trait à la situation de communication, y compris, par exemple, le </w:t>
      </w:r>
      <w:r w:rsidRPr="00FF0F88">
        <w:rPr>
          <w:rFonts w:asciiTheme="majorBidi" w:hAnsiTheme="majorBidi" w:cstheme="majorBidi"/>
          <w:b/>
          <w:bCs/>
          <w:sz w:val="24"/>
          <w:szCs w:val="24"/>
          <w:lang w:eastAsia="fr-FR"/>
        </w:rPr>
        <w:t>contexte</w:t>
      </w:r>
      <w:r>
        <w:rPr>
          <w:rFonts w:asciiTheme="majorBidi" w:hAnsiTheme="majorBidi" w:cstheme="majorBidi"/>
          <w:sz w:val="24"/>
          <w:szCs w:val="24"/>
          <w:lang w:eastAsia="fr-FR"/>
        </w:rPr>
        <w:t xml:space="preserve"> social et culturel. » (</w:t>
      </w:r>
      <w:proofErr w:type="spellStart"/>
      <w:r>
        <w:rPr>
          <w:rFonts w:asciiTheme="majorBidi" w:hAnsiTheme="majorBidi" w:cstheme="majorBidi"/>
          <w:sz w:val="24"/>
          <w:szCs w:val="24"/>
          <w:lang w:eastAsia="fr-FR"/>
        </w:rPr>
        <w:t>Kerbrat</w:t>
      </w:r>
      <w:proofErr w:type="spellEnd"/>
      <w:r>
        <w:rPr>
          <w:rFonts w:asciiTheme="majorBidi" w:hAnsiTheme="majorBidi" w:cstheme="majorBidi"/>
          <w:sz w:val="24"/>
          <w:szCs w:val="24"/>
          <w:lang w:eastAsia="fr-FR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  <w:lang w:eastAsia="fr-FR"/>
        </w:rPr>
        <w:t>Orecchioni</w:t>
      </w:r>
      <w:proofErr w:type="spellEnd"/>
      <w:r>
        <w:rPr>
          <w:rFonts w:asciiTheme="majorBidi" w:hAnsiTheme="majorBidi" w:cstheme="majorBidi"/>
          <w:sz w:val="24"/>
          <w:szCs w:val="24"/>
          <w:lang w:eastAsia="fr-FR"/>
        </w:rPr>
        <w:t xml:space="preserve"> 2002</w:t>
      </w:r>
      <w:r w:rsidR="006807A3">
        <w:rPr>
          <w:rFonts w:asciiTheme="majorBidi" w:hAnsiTheme="majorBidi" w:cstheme="majorBidi"/>
          <w:sz w:val="24"/>
          <w:szCs w:val="24"/>
          <w:lang w:eastAsia="fr-FR"/>
        </w:rPr>
        <w:t> : 134-135).</w:t>
      </w:r>
    </w:p>
    <w:p w:rsidR="005E6040" w:rsidRDefault="00F01C3B" w:rsidP="00753FD0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01C3B">
        <w:rPr>
          <w:rFonts w:asciiTheme="majorBidi" w:hAnsiTheme="majorBidi" w:cstheme="majorBidi"/>
          <w:sz w:val="24"/>
          <w:szCs w:val="24"/>
          <w:shd w:val="clear" w:color="auto" w:fill="FFFFFF"/>
        </w:rPr>
        <w:t>Le contexte est en général bien plus vaste que le cotexte linguistique d'un </w:t>
      </w:r>
      <w:hyperlink r:id="rId8" w:tooltip="Fait de langue (page inexistante)" w:history="1">
        <w:r w:rsidRPr="00F01C3B">
          <w:rPr>
            <w:rStyle w:val="Lienhypertexte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fait de langue</w:t>
        </w:r>
      </w:hyperlink>
      <w:r w:rsidRPr="00F01C3B">
        <w:rPr>
          <w:rFonts w:asciiTheme="majorBidi" w:hAnsiTheme="majorBidi" w:cstheme="majorBidi"/>
          <w:sz w:val="24"/>
          <w:szCs w:val="24"/>
          <w:shd w:val="clear" w:color="auto" w:fill="FFFFFF"/>
        </w:rPr>
        <w:t>. Le cotexte, lui, ne désigne l'environnement d'un fait de langue qu'en tant que zone linguistique, éléments concrets de discours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DC60B0" w:rsidRPr="00A71391" w:rsidRDefault="00DC60B0" w:rsidP="00DC60B0">
      <w:pPr>
        <w:pStyle w:val="NormalWeb"/>
        <w:shd w:val="clear" w:color="auto" w:fill="FFFFFF"/>
        <w:spacing w:before="0" w:beforeAutospacing="0"/>
        <w:jc w:val="both"/>
        <w:rPr>
          <w:rFonts w:asciiTheme="majorBidi" w:hAnsiTheme="majorBidi" w:cstheme="majorBidi"/>
        </w:rPr>
      </w:pPr>
      <w:r w:rsidRPr="00A71391">
        <w:rPr>
          <w:rFonts w:asciiTheme="majorBidi" w:hAnsiTheme="majorBidi" w:cstheme="majorBidi"/>
        </w:rPr>
        <w:t>On appelle « cotexte » l'entourage </w:t>
      </w:r>
      <w:hyperlink r:id="rId9" w:history="1">
        <w:r w:rsidRPr="00A71391">
          <w:rPr>
            <w:rStyle w:val="Lienhypertexte"/>
            <w:rFonts w:asciiTheme="majorBidi" w:hAnsiTheme="majorBidi" w:cstheme="majorBidi"/>
            <w:color w:val="auto"/>
          </w:rPr>
          <w:t>linguistique</w:t>
        </w:r>
      </w:hyperlink>
      <w:r w:rsidRPr="00A71391">
        <w:rPr>
          <w:rFonts w:asciiTheme="majorBidi" w:hAnsiTheme="majorBidi" w:cstheme="majorBidi"/>
        </w:rPr>
        <w:t> d'un élément (unité phonique, mot ou séquence de mots) au sein de l'énoncé où il apparaît, c'est-à-dire la série des unités qui le précèdent et qui le suivent : ainsi, dans l'énoncé « Marie est jolie comme un cœur », l'élément « comme » a pour cotexte immédiat « jolie... un cœur » et pour cotexte plus large l'environnement « Marie est jolie... un cœur ». Par extension, on parle également du cotexte d'un énoncé au sein d'un </w:t>
      </w:r>
      <w:hyperlink r:id="rId10" w:history="1">
        <w:r w:rsidRPr="00A71391">
          <w:rPr>
            <w:rStyle w:val="Lienhypertexte"/>
            <w:rFonts w:asciiTheme="majorBidi" w:hAnsiTheme="majorBidi" w:cstheme="majorBidi"/>
            <w:color w:val="auto"/>
          </w:rPr>
          <w:t>discours</w:t>
        </w:r>
      </w:hyperlink>
      <w:r w:rsidRPr="00A71391">
        <w:rPr>
          <w:rFonts w:asciiTheme="majorBidi" w:hAnsiTheme="majorBidi" w:cstheme="majorBidi"/>
        </w:rPr>
        <w:t> pour désigner le ou les énoncés qui précèdent et suivent immédiatement l'énoncé considéré. Il s’agit là du « contexte verbal ».</w:t>
      </w:r>
    </w:p>
    <w:p w:rsidR="00DC60B0" w:rsidRPr="00F01C3B" w:rsidRDefault="00DC60B0" w:rsidP="00A45EBE">
      <w:pPr>
        <w:pStyle w:val="NormalWeb"/>
        <w:shd w:val="clear" w:color="auto" w:fill="FFFFFF"/>
        <w:spacing w:before="0" w:beforeAutospacing="0"/>
        <w:jc w:val="both"/>
        <w:rPr>
          <w:rFonts w:asciiTheme="majorBidi" w:hAnsiTheme="majorBidi" w:cstheme="majorBidi"/>
        </w:rPr>
      </w:pPr>
      <w:r w:rsidRPr="00A71391">
        <w:rPr>
          <w:rFonts w:asciiTheme="majorBidi" w:hAnsiTheme="majorBidi" w:cstheme="majorBidi"/>
        </w:rPr>
        <w:t>Quant au « contexte situationnel », il désigne l'ensemble des circonstances dans lesquelles se produit un acte d'énonciation : situation culturelle et psychologique, expériences et connaissances du monde ; représentations mutuelles que chacun se fait de son ou de ses interlocuteurs, etc. Il s’agit là de ce que l’on appelle le contexte.</w:t>
      </w:r>
    </w:p>
    <w:sectPr w:rsidR="00DC60B0" w:rsidRPr="00F01C3B" w:rsidSect="005E6040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44D" w:rsidRDefault="007B044D" w:rsidP="009B0F83">
      <w:pPr>
        <w:spacing w:after="0" w:line="240" w:lineRule="auto"/>
      </w:pPr>
      <w:r>
        <w:separator/>
      </w:r>
    </w:p>
  </w:endnote>
  <w:endnote w:type="continuationSeparator" w:id="0">
    <w:p w:rsidR="007B044D" w:rsidRDefault="007B044D" w:rsidP="009B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8074"/>
      <w:docPartObj>
        <w:docPartGallery w:val="Page Numbers (Bottom of Page)"/>
        <w:docPartUnique/>
      </w:docPartObj>
    </w:sdtPr>
    <w:sdtContent>
      <w:p w:rsidR="009B0F83" w:rsidRDefault="00921B63">
        <w:pPr>
          <w:pStyle w:val="Pieddepage"/>
          <w:jc w:val="center"/>
        </w:pPr>
        <w:fldSimple w:instr=" PAGE   \* MERGEFORMAT ">
          <w:r w:rsidR="00A45EBE">
            <w:rPr>
              <w:noProof/>
            </w:rPr>
            <w:t>2</w:t>
          </w:r>
        </w:fldSimple>
      </w:p>
    </w:sdtContent>
  </w:sdt>
  <w:p w:rsidR="009B0F83" w:rsidRDefault="009B0F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44D" w:rsidRDefault="007B044D" w:rsidP="009B0F83">
      <w:pPr>
        <w:spacing w:after="0" w:line="240" w:lineRule="auto"/>
      </w:pPr>
      <w:r>
        <w:separator/>
      </w:r>
    </w:p>
  </w:footnote>
  <w:footnote w:type="continuationSeparator" w:id="0">
    <w:p w:rsidR="007B044D" w:rsidRDefault="007B044D" w:rsidP="009B0F83">
      <w:pPr>
        <w:spacing w:after="0" w:line="240" w:lineRule="auto"/>
      </w:pPr>
      <w:r>
        <w:continuationSeparator/>
      </w:r>
    </w:p>
  </w:footnote>
  <w:footnote w:id="1">
    <w:p w:rsidR="0023183A" w:rsidRPr="0091030F" w:rsidRDefault="0023183A">
      <w:pPr>
        <w:pStyle w:val="Notedebasdepage"/>
        <w:rPr>
          <w:rFonts w:asciiTheme="majorBidi" w:hAnsiTheme="majorBidi" w:cstheme="majorBidi"/>
        </w:rPr>
      </w:pPr>
      <w:r w:rsidRPr="0091030F">
        <w:rPr>
          <w:rStyle w:val="Appelnotedebasdep"/>
          <w:rFonts w:asciiTheme="majorBidi" w:hAnsiTheme="majorBidi" w:cstheme="majorBidi"/>
        </w:rPr>
        <w:footnoteRef/>
      </w:r>
      <w:r w:rsidRPr="0091030F">
        <w:rPr>
          <w:rFonts w:asciiTheme="majorBidi" w:hAnsiTheme="majorBidi" w:cstheme="majorBidi"/>
        </w:rPr>
        <w:t xml:space="preserve"> G. GENETTE, </w:t>
      </w:r>
      <w:r w:rsidRPr="0091030F">
        <w:rPr>
          <w:rFonts w:asciiTheme="majorBidi" w:hAnsiTheme="majorBidi" w:cstheme="majorBidi"/>
          <w:i/>
          <w:iCs/>
        </w:rPr>
        <w:t>Seuils</w:t>
      </w:r>
      <w:r w:rsidRPr="0091030F">
        <w:rPr>
          <w:rFonts w:asciiTheme="majorBidi" w:hAnsiTheme="majorBidi" w:cstheme="majorBidi"/>
        </w:rPr>
        <w:t>, éditions du Seuil, coll. "Poétique", 1987.</w:t>
      </w:r>
    </w:p>
  </w:footnote>
  <w:footnote w:id="2">
    <w:p w:rsidR="00DC1AB6" w:rsidRDefault="00DC1AB6">
      <w:pPr>
        <w:pStyle w:val="Notedebasdepage"/>
        <w:rPr>
          <w:rFonts w:asciiTheme="majorBidi" w:hAnsiTheme="majorBidi" w:cstheme="majorBidi"/>
          <w:shd w:val="clear" w:color="auto" w:fill="FFFFFF"/>
        </w:rPr>
      </w:pPr>
      <w:r w:rsidRPr="0091030F">
        <w:rPr>
          <w:rStyle w:val="Appelnotedebasdep"/>
          <w:rFonts w:asciiTheme="majorBidi" w:hAnsiTheme="majorBidi" w:cstheme="majorBidi"/>
        </w:rPr>
        <w:footnoteRef/>
      </w:r>
      <w:r w:rsidR="0091030F" w:rsidRPr="0091030F">
        <w:rPr>
          <w:rFonts w:asciiTheme="majorBidi" w:hAnsiTheme="majorBidi" w:cstheme="majorBidi"/>
        </w:rPr>
        <w:t xml:space="preserve"> Benoit Mitaine,</w:t>
      </w:r>
      <w:r w:rsidRPr="0091030F">
        <w:rPr>
          <w:rFonts w:asciiTheme="majorBidi" w:hAnsiTheme="majorBidi" w:cstheme="majorBidi"/>
        </w:rPr>
        <w:t xml:space="preserve"> </w:t>
      </w:r>
      <w:r w:rsidR="0091030F" w:rsidRPr="0091030F">
        <w:rPr>
          <w:rFonts w:asciiTheme="majorBidi" w:hAnsiTheme="majorBidi" w:cstheme="majorBidi"/>
          <w:shd w:val="clear" w:color="auto" w:fill="FFFFFF"/>
        </w:rPr>
        <w:t xml:space="preserve">Article issu du "Dictionnaire esthétique et thématique de la bande dessinée" (dirigée par Th. </w:t>
      </w:r>
      <w:proofErr w:type="spellStart"/>
      <w:r w:rsidR="0091030F" w:rsidRPr="0091030F">
        <w:rPr>
          <w:rFonts w:asciiTheme="majorBidi" w:hAnsiTheme="majorBidi" w:cstheme="majorBidi"/>
          <w:shd w:val="clear" w:color="auto" w:fill="FFFFFF"/>
        </w:rPr>
        <w:t>Groensteen</w:t>
      </w:r>
      <w:proofErr w:type="spellEnd"/>
      <w:r w:rsidR="0091030F" w:rsidRPr="0091030F">
        <w:rPr>
          <w:rFonts w:asciiTheme="majorBidi" w:hAnsiTheme="majorBidi" w:cstheme="majorBidi"/>
          <w:shd w:val="clear" w:color="auto" w:fill="FFFFFF"/>
        </w:rPr>
        <w:t>).</w:t>
      </w:r>
    </w:p>
    <w:p w:rsidR="0091030F" w:rsidRPr="007F0A16" w:rsidRDefault="0091030F" w:rsidP="0091030F">
      <w:pPr>
        <w:jc w:val="both"/>
        <w:rPr>
          <w:rFonts w:asciiTheme="majorBidi" w:hAnsiTheme="majorBidi" w:cstheme="majorBidi"/>
          <w:sz w:val="20"/>
          <w:szCs w:val="20"/>
        </w:rPr>
      </w:pPr>
      <w:r w:rsidRPr="007F0A16">
        <w:rPr>
          <w:rFonts w:asciiTheme="majorBidi" w:hAnsiTheme="majorBidi" w:cstheme="majorBidi"/>
          <w:sz w:val="20"/>
          <w:szCs w:val="20"/>
        </w:rPr>
        <w:t>https://www.academia.edu/42913130/Paratexte_et_Bande_dessin%C3%A9e</w:t>
      </w:r>
    </w:p>
    <w:p w:rsidR="0091030F" w:rsidRPr="0091030F" w:rsidRDefault="0091030F">
      <w:pPr>
        <w:pStyle w:val="Notedebasdepage"/>
        <w:rPr>
          <w:rFonts w:asciiTheme="majorBidi" w:hAnsiTheme="majorBidi" w:cstheme="majorBid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DDF"/>
    <w:multiLevelType w:val="hybridMultilevel"/>
    <w:tmpl w:val="414449DA"/>
    <w:lvl w:ilvl="0" w:tplc="9ABA7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040"/>
    <w:rsid w:val="00016C83"/>
    <w:rsid w:val="0002188D"/>
    <w:rsid w:val="00031FA7"/>
    <w:rsid w:val="0023183A"/>
    <w:rsid w:val="00260D36"/>
    <w:rsid w:val="002828D6"/>
    <w:rsid w:val="00301EAC"/>
    <w:rsid w:val="004157C2"/>
    <w:rsid w:val="00462765"/>
    <w:rsid w:val="00533923"/>
    <w:rsid w:val="005E6040"/>
    <w:rsid w:val="00676C5E"/>
    <w:rsid w:val="006807A3"/>
    <w:rsid w:val="00682B1C"/>
    <w:rsid w:val="00746460"/>
    <w:rsid w:val="00753FD0"/>
    <w:rsid w:val="007B044D"/>
    <w:rsid w:val="008B4B54"/>
    <w:rsid w:val="0091030F"/>
    <w:rsid w:val="00921B63"/>
    <w:rsid w:val="009B0F83"/>
    <w:rsid w:val="00A02C79"/>
    <w:rsid w:val="00A038C7"/>
    <w:rsid w:val="00A128DD"/>
    <w:rsid w:val="00A45EBE"/>
    <w:rsid w:val="00AE154C"/>
    <w:rsid w:val="00AF681D"/>
    <w:rsid w:val="00BF2B3E"/>
    <w:rsid w:val="00C311C2"/>
    <w:rsid w:val="00C96B4C"/>
    <w:rsid w:val="00D17F4F"/>
    <w:rsid w:val="00DB510D"/>
    <w:rsid w:val="00DC1AB6"/>
    <w:rsid w:val="00DC60B0"/>
    <w:rsid w:val="00DD301B"/>
    <w:rsid w:val="00E67FFE"/>
    <w:rsid w:val="00EE322A"/>
    <w:rsid w:val="00F01C3B"/>
    <w:rsid w:val="00F107E2"/>
    <w:rsid w:val="00FF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E6040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5E6040"/>
    <w:rPr>
      <w:b/>
      <w:bCs/>
    </w:rPr>
  </w:style>
  <w:style w:type="paragraph" w:customStyle="1" w:styleId="exergue">
    <w:name w:val="exergue"/>
    <w:basedOn w:val="Normal"/>
    <w:rsid w:val="00A0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B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0F83"/>
  </w:style>
  <w:style w:type="paragraph" w:styleId="Pieddepage">
    <w:name w:val="footer"/>
    <w:basedOn w:val="Normal"/>
    <w:link w:val="PieddepageCar"/>
    <w:uiPriority w:val="99"/>
    <w:unhideWhenUsed/>
    <w:rsid w:val="009B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0F83"/>
  </w:style>
  <w:style w:type="paragraph" w:styleId="NormalWeb">
    <w:name w:val="Normal (Web)"/>
    <w:basedOn w:val="Normal"/>
    <w:uiPriority w:val="99"/>
    <w:unhideWhenUsed/>
    <w:rsid w:val="00D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D301B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AF681D"/>
    <w:rPr>
      <w:color w:val="0000FF"/>
      <w:u w:val="single"/>
    </w:rPr>
  </w:style>
  <w:style w:type="character" w:customStyle="1" w:styleId="a">
    <w:name w:val="_"/>
    <w:basedOn w:val="Policepardfaut"/>
    <w:rsid w:val="00301EAC"/>
  </w:style>
  <w:style w:type="character" w:customStyle="1" w:styleId="fs3">
    <w:name w:val="fs3"/>
    <w:basedOn w:val="Policepardfaut"/>
    <w:rsid w:val="00301EAC"/>
  </w:style>
  <w:style w:type="paragraph" w:styleId="Notedefin">
    <w:name w:val="endnote text"/>
    <w:basedOn w:val="Normal"/>
    <w:link w:val="NotedefinCar"/>
    <w:uiPriority w:val="99"/>
    <w:semiHidden/>
    <w:unhideWhenUsed/>
    <w:rsid w:val="00301EA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01EA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01E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183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18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1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/index.php?title=Fait_de_langue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versalis.fr/encyclopedie/discou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ersalis.fr/encyclopedie/linguistique-edward-sapi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24319-56E4-40D8-AD62-2BD8239A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1331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27</cp:revision>
  <dcterms:created xsi:type="dcterms:W3CDTF">2023-09-28T16:35:00Z</dcterms:created>
  <dcterms:modified xsi:type="dcterms:W3CDTF">2023-10-01T20:39:00Z</dcterms:modified>
</cp:coreProperties>
</file>