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9538A3" w14:textId="77777777" w:rsidR="00445E66" w:rsidRPr="00445E66" w:rsidRDefault="00445E66" w:rsidP="00445E66">
      <w:pPr>
        <w:bidi/>
        <w:spacing w:before="120" w:after="240" w:line="240" w:lineRule="auto"/>
        <w:jc w:val="lowKashida"/>
        <w:rPr>
          <w:rFonts w:ascii="Times New Roman" w:eastAsia="Times New Roman" w:hAnsi="Times New Roman" w:cs="Simplified Arabic"/>
          <w:b/>
          <w:bCs/>
          <w:sz w:val="36"/>
          <w:szCs w:val="36"/>
          <w:rtl/>
          <w:lang w:val="en-US" w:eastAsia="ar-SA"/>
        </w:rPr>
      </w:pPr>
      <w:r w:rsidRPr="00445E66">
        <w:rPr>
          <w:rFonts w:ascii="Times New Roman" w:eastAsia="Times New Roman" w:hAnsi="Times New Roman" w:cs="Simplified Arabic" w:hint="cs"/>
          <w:b/>
          <w:bCs/>
          <w:sz w:val="36"/>
          <w:szCs w:val="36"/>
          <w:rtl/>
          <w:lang w:val="en-US" w:eastAsia="ar-SA"/>
        </w:rPr>
        <w:t xml:space="preserve">  </w:t>
      </w:r>
      <w:r w:rsidRPr="00445E66">
        <w:rPr>
          <w:rFonts w:ascii="Times New Roman" w:eastAsia="Times New Roman" w:hAnsi="Times New Roman" w:cs="Simplified Arabic" w:hint="cs"/>
          <w:b/>
          <w:bCs/>
          <w:sz w:val="36"/>
          <w:szCs w:val="36"/>
          <w:rtl/>
          <w:lang w:val="en-US" w:eastAsia="ar-SA"/>
        </w:rPr>
        <w:t xml:space="preserve">المحاضرة </w:t>
      </w:r>
      <w:proofErr w:type="gramStart"/>
      <w:r w:rsidRPr="00445E66">
        <w:rPr>
          <w:rFonts w:ascii="Times New Roman" w:eastAsia="Times New Roman" w:hAnsi="Times New Roman" w:cs="Simplified Arabic" w:hint="cs"/>
          <w:b/>
          <w:bCs/>
          <w:sz w:val="36"/>
          <w:szCs w:val="36"/>
          <w:rtl/>
          <w:lang w:val="en-US" w:eastAsia="ar-SA"/>
        </w:rPr>
        <w:t>7 :</w:t>
      </w:r>
      <w:proofErr w:type="gramEnd"/>
      <w:r w:rsidRPr="00445E66">
        <w:rPr>
          <w:rFonts w:ascii="Times New Roman" w:eastAsia="Times New Roman" w:hAnsi="Times New Roman" w:cs="Simplified Arabic" w:hint="cs"/>
          <w:b/>
          <w:bCs/>
          <w:sz w:val="36"/>
          <w:szCs w:val="36"/>
          <w:rtl/>
          <w:lang w:val="en-US" w:eastAsia="ar-SA"/>
        </w:rPr>
        <w:t xml:space="preserve"> اندماج الآفاق :</w:t>
      </w:r>
    </w:p>
    <w:p w14:paraId="5D3E894F" w14:textId="77EAC074" w:rsidR="00445E66" w:rsidRPr="00CB54F0" w:rsidRDefault="007F4084" w:rsidP="00445E66">
      <w:pPr>
        <w:bidi/>
        <w:spacing w:before="120" w:after="240" w:line="240" w:lineRule="auto"/>
        <w:jc w:val="lowKashida"/>
        <w:rPr>
          <w:rFonts w:ascii="Times New Roman" w:eastAsia="Times New Roman" w:hAnsi="Times New Roman" w:cs="Simplified Arabic"/>
          <w:sz w:val="28"/>
          <w:szCs w:val="28"/>
          <w:rtl/>
          <w:lang w:val="en-US" w:eastAsia="ar-SA"/>
        </w:rPr>
      </w:pPr>
      <w:r>
        <w:rPr>
          <w:rFonts w:ascii="Times New Roman" w:eastAsia="Times New Roman" w:hAnsi="Times New Roman" w:cs="Simplified Arabic" w:hint="cs"/>
          <w:sz w:val="28"/>
          <w:szCs w:val="28"/>
          <w:rtl/>
          <w:lang w:val="en-US" w:eastAsia="ar-SA"/>
        </w:rPr>
        <w:t xml:space="preserve">   </w:t>
      </w:r>
      <w:r w:rsidR="00445E66" w:rsidRPr="00CB54F0">
        <w:rPr>
          <w:rFonts w:ascii="Times New Roman" w:eastAsia="Times New Roman" w:hAnsi="Times New Roman" w:cs="Simplified Arabic" w:hint="cs"/>
          <w:sz w:val="28"/>
          <w:szCs w:val="28"/>
          <w:rtl/>
          <w:lang w:val="en-US" w:eastAsia="ar-SA"/>
        </w:rPr>
        <w:t xml:space="preserve">  إنّ القارئ في لقائه مع النصّ يُفعّلُ فهمه المسبق الذي يشمل التوقّعات المجسّدة ، التي لها علاقة بأفق غاياته و رغباته و احتياجاته و تجاربه ، كما يحدّدها طبعا المجتمع أو الطبقة التي هو جزء فيها ، أو التي يحدّدها تاريخه الشخصي ، و يمكن أن نشير هنا إلى التجربة </w:t>
      </w:r>
      <w:proofErr w:type="spellStart"/>
      <w:r w:rsidR="00445E66" w:rsidRPr="00CB54F0">
        <w:rPr>
          <w:rFonts w:ascii="Times New Roman" w:eastAsia="Times New Roman" w:hAnsi="Times New Roman" w:cs="Simplified Arabic" w:hint="cs"/>
          <w:sz w:val="28"/>
          <w:szCs w:val="28"/>
          <w:rtl/>
          <w:lang w:val="en-US" w:eastAsia="ar-SA"/>
        </w:rPr>
        <w:t>المعاشة</w:t>
      </w:r>
      <w:proofErr w:type="spellEnd"/>
      <w:r w:rsidR="00445E66" w:rsidRPr="00CB54F0">
        <w:rPr>
          <w:rFonts w:ascii="Times New Roman" w:eastAsia="Times New Roman" w:hAnsi="Times New Roman" w:cs="Simplified Arabic" w:hint="cs"/>
          <w:sz w:val="28"/>
          <w:szCs w:val="28"/>
          <w:rtl/>
          <w:lang w:val="en-US" w:eastAsia="ar-SA"/>
        </w:rPr>
        <w:t xml:space="preserve"> كما صاغها </w:t>
      </w:r>
      <w:proofErr w:type="spellStart"/>
      <w:r w:rsidR="00445E66" w:rsidRPr="00CB54F0">
        <w:rPr>
          <w:rFonts w:ascii="Times New Roman" w:eastAsia="Times New Roman" w:hAnsi="Times New Roman" w:cs="Simplified Arabic" w:hint="cs"/>
          <w:sz w:val="28"/>
          <w:szCs w:val="28"/>
          <w:rtl/>
          <w:lang w:val="en-US" w:eastAsia="ar-SA"/>
        </w:rPr>
        <w:t>ديلثي</w:t>
      </w:r>
      <w:proofErr w:type="spellEnd"/>
      <w:r w:rsidR="00445E66" w:rsidRPr="00CB54F0">
        <w:rPr>
          <w:rFonts w:ascii="Times New Roman" w:eastAsia="Times New Roman" w:hAnsi="Times New Roman" w:cs="Simplified Arabic" w:hint="cs"/>
          <w:sz w:val="28"/>
          <w:szCs w:val="28"/>
          <w:rtl/>
          <w:lang w:val="en-US" w:eastAsia="ar-SA"/>
        </w:rPr>
        <w:t xml:space="preserve"> ضمن الوعي التاريخي : (( ...يرى </w:t>
      </w:r>
      <w:proofErr w:type="spellStart"/>
      <w:r w:rsidR="00445E66" w:rsidRPr="00CB54F0">
        <w:rPr>
          <w:rFonts w:ascii="Times New Roman" w:eastAsia="Times New Roman" w:hAnsi="Times New Roman" w:cs="Simplified Arabic" w:hint="cs"/>
          <w:sz w:val="28"/>
          <w:szCs w:val="28"/>
          <w:rtl/>
          <w:lang w:val="en-US" w:eastAsia="ar-SA"/>
        </w:rPr>
        <w:t>ديلثي</w:t>
      </w:r>
      <w:proofErr w:type="spellEnd"/>
      <w:r w:rsidR="00445E66" w:rsidRPr="00CB54F0">
        <w:rPr>
          <w:rFonts w:ascii="Times New Roman" w:eastAsia="Times New Roman" w:hAnsi="Times New Roman" w:cs="Simplified Arabic" w:hint="cs"/>
          <w:sz w:val="28"/>
          <w:szCs w:val="28"/>
          <w:rtl/>
          <w:lang w:val="en-US" w:eastAsia="ar-SA"/>
        </w:rPr>
        <w:t xml:space="preserve"> أيضا ، بأنّ الوعي التاريخي هو حلّ لمشكلة الحقيقة )) </w:t>
      </w:r>
      <w:r w:rsidR="00445E66" w:rsidRPr="00CB54F0">
        <w:rPr>
          <w:rFonts w:ascii="Times New Roman" w:eastAsia="Times New Roman" w:hAnsi="Times New Roman" w:cs="Simplified Arabic"/>
          <w:sz w:val="28"/>
          <w:szCs w:val="28"/>
          <w:vertAlign w:val="superscript"/>
          <w:rtl/>
          <w:lang w:val="en-US" w:eastAsia="ar-SA"/>
        </w:rPr>
        <w:footnoteReference w:customMarkFollows="1" w:id="1"/>
        <w:t>( 147 )</w:t>
      </w:r>
      <w:r w:rsidR="00445E66" w:rsidRPr="00CB54F0">
        <w:rPr>
          <w:rFonts w:ascii="Times New Roman" w:eastAsia="Times New Roman" w:hAnsi="Times New Roman" w:cs="Simplified Arabic" w:hint="cs"/>
          <w:sz w:val="28"/>
          <w:szCs w:val="28"/>
          <w:rtl/>
          <w:lang w:val="en-US" w:eastAsia="ar-SA"/>
        </w:rPr>
        <w:t xml:space="preserve"> ، و بالتالي فإنّ لقاء القارئ مع النصّ يترجم لقاء أفقين مندمجين ، أفق الفهم المسبق للقارئ ، الذي يتضمن استعداده و مناخه الفكري و النفسي ، و أفق المناخ الأدبي للعمل الذي يتضمن شكله و معاييره و أدواته الفنّية و اللسانية . إنّ اندماج هذين </w:t>
      </w:r>
      <w:proofErr w:type="gramStart"/>
      <w:r w:rsidR="00445E66" w:rsidRPr="00CB54F0">
        <w:rPr>
          <w:rFonts w:ascii="Times New Roman" w:eastAsia="Times New Roman" w:hAnsi="Times New Roman" w:cs="Simplified Arabic" w:hint="cs"/>
          <w:sz w:val="28"/>
          <w:szCs w:val="28"/>
          <w:rtl/>
          <w:lang w:val="en-US" w:eastAsia="ar-SA"/>
        </w:rPr>
        <w:t>الأفقين ،</w:t>
      </w:r>
      <w:proofErr w:type="gramEnd"/>
      <w:r w:rsidR="00445E66" w:rsidRPr="00CB54F0">
        <w:rPr>
          <w:rFonts w:ascii="Times New Roman" w:eastAsia="Times New Roman" w:hAnsi="Times New Roman" w:cs="Simplified Arabic" w:hint="cs"/>
          <w:sz w:val="28"/>
          <w:szCs w:val="28"/>
          <w:rtl/>
          <w:lang w:val="en-US" w:eastAsia="ar-SA"/>
        </w:rPr>
        <w:t xml:space="preserve"> يقول </w:t>
      </w:r>
      <w:proofErr w:type="spellStart"/>
      <w:r w:rsidR="00445E66" w:rsidRPr="00CB54F0">
        <w:rPr>
          <w:rFonts w:ascii="Times New Roman" w:eastAsia="Times New Roman" w:hAnsi="Times New Roman" w:cs="Simplified Arabic" w:hint="cs"/>
          <w:sz w:val="28"/>
          <w:szCs w:val="28"/>
          <w:rtl/>
          <w:lang w:val="en-US" w:eastAsia="ar-SA"/>
        </w:rPr>
        <w:t>ياوس</w:t>
      </w:r>
      <w:proofErr w:type="spellEnd"/>
      <w:r w:rsidR="00445E66" w:rsidRPr="00CB54F0">
        <w:rPr>
          <w:rFonts w:ascii="Times New Roman" w:eastAsia="Times New Roman" w:hAnsi="Times New Roman" w:cs="Simplified Arabic" w:hint="cs"/>
          <w:sz w:val="28"/>
          <w:szCs w:val="28"/>
          <w:rtl/>
          <w:lang w:val="en-US" w:eastAsia="ar-SA"/>
        </w:rPr>
        <w:t xml:space="preserve"> :       (( يمكن أن يتفعّل بصورة عفوية داخل متعة التوقّعات التي أجاب عليها العمل ، و داخل التحرر من الأعباء و الرتابة اليومية ، و داخل التماهي الذي قبِلَ به القارئ كما كان مقترحا من طرف العمل )) </w:t>
      </w:r>
      <w:r w:rsidR="00445E66" w:rsidRPr="00CB54F0">
        <w:rPr>
          <w:rFonts w:ascii="Times New Roman" w:eastAsia="Times New Roman" w:hAnsi="Times New Roman" w:cs="Simplified Arabic"/>
          <w:sz w:val="28"/>
          <w:szCs w:val="28"/>
          <w:vertAlign w:val="superscript"/>
          <w:rtl/>
          <w:lang w:val="en-US" w:eastAsia="ar-SA"/>
        </w:rPr>
        <w:footnoteReference w:customMarkFollows="1" w:id="2"/>
        <w:t>( 148 )</w:t>
      </w:r>
      <w:r w:rsidR="00445E66" w:rsidRPr="00CB54F0">
        <w:rPr>
          <w:rFonts w:ascii="Times New Roman" w:eastAsia="Times New Roman" w:hAnsi="Times New Roman" w:cs="Simplified Arabic" w:hint="cs"/>
          <w:sz w:val="28"/>
          <w:szCs w:val="28"/>
          <w:rtl/>
          <w:lang w:val="en-US" w:eastAsia="ar-SA"/>
        </w:rPr>
        <w:t xml:space="preserve"> . </w:t>
      </w:r>
      <w:proofErr w:type="spellStart"/>
      <w:r w:rsidR="00445E66" w:rsidRPr="00CB54F0">
        <w:rPr>
          <w:rFonts w:ascii="Times New Roman" w:eastAsia="Times New Roman" w:hAnsi="Times New Roman" w:cs="Simplified Arabic" w:hint="cs"/>
          <w:sz w:val="28"/>
          <w:szCs w:val="28"/>
          <w:rtl/>
          <w:lang w:val="en-US" w:eastAsia="ar-SA"/>
        </w:rPr>
        <w:t>غيرأنّ</w:t>
      </w:r>
      <w:proofErr w:type="spellEnd"/>
      <w:r w:rsidR="00445E66" w:rsidRPr="00CB54F0">
        <w:rPr>
          <w:rFonts w:ascii="Times New Roman" w:eastAsia="Times New Roman" w:hAnsi="Times New Roman" w:cs="Simplified Arabic" w:hint="cs"/>
          <w:sz w:val="28"/>
          <w:szCs w:val="28"/>
          <w:rtl/>
          <w:lang w:val="en-US" w:eastAsia="ar-SA"/>
        </w:rPr>
        <w:t xml:space="preserve"> هذا الاندماج يمكنه أن يأخذ منحى </w:t>
      </w:r>
      <w:proofErr w:type="gramStart"/>
      <w:r w:rsidR="00445E66" w:rsidRPr="00CB54F0">
        <w:rPr>
          <w:rFonts w:ascii="Times New Roman" w:eastAsia="Times New Roman" w:hAnsi="Times New Roman" w:cs="Simplified Arabic" w:hint="cs"/>
          <w:sz w:val="28"/>
          <w:szCs w:val="28"/>
          <w:rtl/>
          <w:lang w:val="en-US" w:eastAsia="ar-SA"/>
        </w:rPr>
        <w:t>عكسيا ،</w:t>
      </w:r>
      <w:proofErr w:type="gramEnd"/>
      <w:r w:rsidR="00445E66" w:rsidRPr="00CB54F0">
        <w:rPr>
          <w:rFonts w:ascii="Times New Roman" w:eastAsia="Times New Roman" w:hAnsi="Times New Roman" w:cs="Simplified Arabic" w:hint="cs"/>
          <w:sz w:val="28"/>
          <w:szCs w:val="28"/>
          <w:rtl/>
          <w:lang w:val="en-US" w:eastAsia="ar-SA"/>
        </w:rPr>
        <w:t xml:space="preserve"> حيث يمكن أن تتفعّل الملكة النقدية لدى القارئ ، أو حين يتمّ دحض هذا التوقّع من طرف العمل ، و هنا يمكن للقارئ أن يقبل أو أن يرفض دمج التجربة الأدبية الجديدة في أفق تجربته الخاصة .</w:t>
      </w:r>
    </w:p>
    <w:p w14:paraId="43268C17" w14:textId="77777777" w:rsidR="00445E66" w:rsidRPr="00CB54F0" w:rsidRDefault="00445E66" w:rsidP="00445E66">
      <w:pPr>
        <w:bidi/>
        <w:spacing w:before="120" w:after="240" w:line="240" w:lineRule="auto"/>
        <w:jc w:val="lowKashida"/>
        <w:rPr>
          <w:rFonts w:ascii="Times New Roman" w:eastAsia="Times New Roman" w:hAnsi="Times New Roman" w:cs="Simplified Arabic"/>
          <w:sz w:val="28"/>
          <w:szCs w:val="28"/>
          <w:rtl/>
          <w:lang w:val="en-US" w:eastAsia="ar-SA"/>
        </w:rPr>
      </w:pPr>
      <w:r w:rsidRPr="00CB54F0">
        <w:rPr>
          <w:rFonts w:ascii="Times New Roman" w:eastAsia="Times New Roman" w:hAnsi="Times New Roman" w:cs="Simplified Arabic" w:hint="cs"/>
          <w:sz w:val="28"/>
          <w:szCs w:val="28"/>
          <w:rtl/>
          <w:lang w:val="en-US" w:eastAsia="ar-SA"/>
        </w:rPr>
        <w:t xml:space="preserve">    لقد أراد </w:t>
      </w:r>
      <w:proofErr w:type="spellStart"/>
      <w:r w:rsidRPr="00CB54F0">
        <w:rPr>
          <w:rFonts w:ascii="Times New Roman" w:eastAsia="Times New Roman" w:hAnsi="Times New Roman" w:cs="Simplified Arabic" w:hint="cs"/>
          <w:sz w:val="28"/>
          <w:szCs w:val="28"/>
          <w:rtl/>
          <w:lang w:val="en-US" w:eastAsia="ar-SA"/>
        </w:rPr>
        <w:t>ياوس</w:t>
      </w:r>
      <w:proofErr w:type="spellEnd"/>
      <w:r w:rsidRPr="00CB54F0">
        <w:rPr>
          <w:rFonts w:ascii="Times New Roman" w:eastAsia="Times New Roman" w:hAnsi="Times New Roman" w:cs="Simplified Arabic" w:hint="cs"/>
          <w:sz w:val="28"/>
          <w:szCs w:val="28"/>
          <w:rtl/>
          <w:lang w:val="en-US" w:eastAsia="ar-SA"/>
        </w:rPr>
        <w:t xml:space="preserve"> أن يعيد لتجربة القارئ فعاليتها مع النصّ ، و دورها في تشكيل مسيرة تاريخ الأدب ضمن مفهوم أفق التوقّع ، إذ ليس العمل الأدبي طاقة فنّية أو أدبية متمكّنة يمكنها أن تقول كلّ شيء متى شاءت و أينما  شاءت ، و بهذا التصوّر فإنّ العمل يعرض مضمونه و شكله بدرجة واحدة مع كلّ تجربة و في كلّ عصر ؛ بل إنّ تجربة القارئ هي الطاقة الموازية لتفعيل هذا   العمل ، و استنطاقه بما يفتح المجال لاندماج الأفقين ، أفق العمل و أفق القارئ ، و بالتالي لقاء العالم الفنّي و الأدبي مع العالم الواقعي ( التاريخي أو اليومي ) .</w:t>
      </w:r>
    </w:p>
    <w:p w14:paraId="38D939E1" w14:textId="77777777" w:rsidR="00445E66" w:rsidRPr="00CB54F0" w:rsidRDefault="00445E66" w:rsidP="00445E66">
      <w:pPr>
        <w:bidi/>
        <w:spacing w:before="120" w:after="240" w:line="240" w:lineRule="auto"/>
        <w:jc w:val="lowKashida"/>
        <w:rPr>
          <w:rFonts w:ascii="Times New Roman" w:eastAsia="Times New Roman" w:hAnsi="Times New Roman" w:cs="Simplified Arabic"/>
          <w:sz w:val="28"/>
          <w:szCs w:val="28"/>
          <w:rtl/>
          <w:lang w:val="en-US" w:eastAsia="ar-SA"/>
        </w:rPr>
      </w:pPr>
      <w:r w:rsidRPr="00CB54F0">
        <w:rPr>
          <w:rFonts w:ascii="Times New Roman" w:eastAsia="Times New Roman" w:hAnsi="Times New Roman" w:cs="Simplified Arabic" w:hint="cs"/>
          <w:sz w:val="28"/>
          <w:szCs w:val="28"/>
          <w:rtl/>
          <w:lang w:val="en-US" w:eastAsia="ar-SA"/>
        </w:rPr>
        <w:t xml:space="preserve">    هذه أهمّ المفاهيم التي عرضها </w:t>
      </w:r>
      <w:proofErr w:type="spellStart"/>
      <w:r w:rsidRPr="00CB54F0">
        <w:rPr>
          <w:rFonts w:ascii="Times New Roman" w:eastAsia="Times New Roman" w:hAnsi="Times New Roman" w:cs="Simplified Arabic" w:hint="cs"/>
          <w:sz w:val="28"/>
          <w:szCs w:val="28"/>
          <w:rtl/>
          <w:lang w:val="en-US" w:eastAsia="ar-SA"/>
        </w:rPr>
        <w:t>ياوس</w:t>
      </w:r>
      <w:proofErr w:type="spellEnd"/>
      <w:r w:rsidRPr="00CB54F0">
        <w:rPr>
          <w:rFonts w:ascii="Times New Roman" w:eastAsia="Times New Roman" w:hAnsi="Times New Roman" w:cs="Simplified Arabic" w:hint="cs"/>
          <w:sz w:val="28"/>
          <w:szCs w:val="28"/>
          <w:rtl/>
          <w:lang w:val="en-US" w:eastAsia="ar-SA"/>
        </w:rPr>
        <w:t xml:space="preserve"> حول فكرة أفق </w:t>
      </w:r>
      <w:proofErr w:type="gramStart"/>
      <w:r w:rsidRPr="00CB54F0">
        <w:rPr>
          <w:rFonts w:ascii="Times New Roman" w:eastAsia="Times New Roman" w:hAnsi="Times New Roman" w:cs="Simplified Arabic" w:hint="cs"/>
          <w:sz w:val="28"/>
          <w:szCs w:val="28"/>
          <w:rtl/>
          <w:lang w:val="en-US" w:eastAsia="ar-SA"/>
        </w:rPr>
        <w:t>التوقّع ،</w:t>
      </w:r>
      <w:proofErr w:type="gramEnd"/>
      <w:r w:rsidRPr="00CB54F0">
        <w:rPr>
          <w:rFonts w:ascii="Times New Roman" w:eastAsia="Times New Roman" w:hAnsi="Times New Roman" w:cs="Simplified Arabic" w:hint="cs"/>
          <w:sz w:val="28"/>
          <w:szCs w:val="28"/>
          <w:rtl/>
          <w:lang w:val="en-US" w:eastAsia="ar-SA"/>
        </w:rPr>
        <w:t xml:space="preserve"> و إن كنا لم نقف على الكثير من جزئياتها التي تتقاطع فيها أراء </w:t>
      </w:r>
      <w:proofErr w:type="spellStart"/>
      <w:r w:rsidRPr="00CB54F0">
        <w:rPr>
          <w:rFonts w:ascii="Times New Roman" w:eastAsia="Times New Roman" w:hAnsi="Times New Roman" w:cs="Simplified Arabic" w:hint="cs"/>
          <w:sz w:val="28"/>
          <w:szCs w:val="28"/>
          <w:rtl/>
          <w:lang w:val="en-US" w:eastAsia="ar-SA"/>
        </w:rPr>
        <w:t>ياوس</w:t>
      </w:r>
      <w:proofErr w:type="spellEnd"/>
      <w:r w:rsidRPr="00CB54F0">
        <w:rPr>
          <w:rFonts w:ascii="Times New Roman" w:eastAsia="Times New Roman" w:hAnsi="Times New Roman" w:cs="Simplified Arabic" w:hint="cs"/>
          <w:sz w:val="28"/>
          <w:szCs w:val="28"/>
          <w:rtl/>
          <w:lang w:val="en-US" w:eastAsia="ar-SA"/>
        </w:rPr>
        <w:t xml:space="preserve"> مع أطروحات النظريات الفكرية و الفلسفية الأخرى </w:t>
      </w:r>
      <w:r w:rsidRPr="00CB54F0">
        <w:rPr>
          <w:rFonts w:ascii="Times New Roman" w:eastAsia="Times New Roman" w:hAnsi="Times New Roman" w:cs="Simplified Arabic"/>
          <w:sz w:val="28"/>
          <w:szCs w:val="28"/>
          <w:vertAlign w:val="superscript"/>
          <w:rtl/>
          <w:lang w:val="en-US" w:eastAsia="ar-SA"/>
        </w:rPr>
        <w:footnoteReference w:customMarkFollows="1" w:id="3"/>
        <w:t>( ** )</w:t>
      </w:r>
      <w:r w:rsidRPr="00CB54F0">
        <w:rPr>
          <w:rFonts w:ascii="Times New Roman" w:eastAsia="Times New Roman" w:hAnsi="Times New Roman" w:cs="Simplified Arabic" w:hint="cs"/>
          <w:sz w:val="28"/>
          <w:szCs w:val="28"/>
          <w:rtl/>
          <w:lang w:val="en-US" w:eastAsia="ar-SA"/>
        </w:rPr>
        <w:t xml:space="preserve">، ذلك أنّ </w:t>
      </w:r>
      <w:proofErr w:type="spellStart"/>
      <w:r w:rsidRPr="00CB54F0">
        <w:rPr>
          <w:rFonts w:ascii="Times New Roman" w:eastAsia="Times New Roman" w:hAnsi="Times New Roman" w:cs="Simplified Arabic" w:hint="cs"/>
          <w:sz w:val="28"/>
          <w:szCs w:val="28"/>
          <w:rtl/>
          <w:lang w:val="en-US" w:eastAsia="ar-SA"/>
        </w:rPr>
        <w:lastRenderedPageBreak/>
        <w:t>ياوس</w:t>
      </w:r>
      <w:proofErr w:type="spellEnd"/>
      <w:r w:rsidRPr="00CB54F0">
        <w:rPr>
          <w:rFonts w:ascii="Times New Roman" w:eastAsia="Times New Roman" w:hAnsi="Times New Roman" w:cs="Simplified Arabic" w:hint="cs"/>
          <w:sz w:val="28"/>
          <w:szCs w:val="28"/>
          <w:rtl/>
          <w:lang w:val="en-US" w:eastAsia="ar-SA"/>
        </w:rPr>
        <w:t xml:space="preserve"> ، كما يقول </w:t>
      </w:r>
      <w:proofErr w:type="spellStart"/>
      <w:r w:rsidRPr="00CB54F0">
        <w:rPr>
          <w:rFonts w:ascii="Times New Roman" w:eastAsia="Times New Roman" w:hAnsi="Times New Roman" w:cs="Simplified Arabic" w:hint="cs"/>
          <w:sz w:val="28"/>
          <w:szCs w:val="28"/>
          <w:rtl/>
          <w:lang w:val="en-US" w:eastAsia="ar-SA"/>
        </w:rPr>
        <w:t>هولب</w:t>
      </w:r>
      <w:proofErr w:type="spellEnd"/>
      <w:r w:rsidRPr="00CB54F0">
        <w:rPr>
          <w:rFonts w:ascii="Times New Roman" w:eastAsia="Times New Roman" w:hAnsi="Times New Roman" w:cs="Simplified Arabic" w:hint="cs"/>
          <w:sz w:val="28"/>
          <w:szCs w:val="28"/>
          <w:rtl/>
          <w:lang w:val="en-US" w:eastAsia="ar-SA"/>
        </w:rPr>
        <w:t xml:space="preserve"> : (( و المشكلة في استخدام </w:t>
      </w:r>
      <w:proofErr w:type="spellStart"/>
      <w:r w:rsidRPr="00CB54F0">
        <w:rPr>
          <w:rFonts w:ascii="Times New Roman" w:eastAsia="Times New Roman" w:hAnsi="Times New Roman" w:cs="Simplified Arabic" w:hint="cs"/>
          <w:sz w:val="28"/>
          <w:szCs w:val="28"/>
          <w:rtl/>
          <w:lang w:val="en-US" w:eastAsia="ar-SA"/>
        </w:rPr>
        <w:t>ياوس</w:t>
      </w:r>
      <w:proofErr w:type="spellEnd"/>
      <w:r w:rsidRPr="00CB54F0">
        <w:rPr>
          <w:rFonts w:ascii="Times New Roman" w:eastAsia="Times New Roman" w:hAnsi="Times New Roman" w:cs="Simplified Arabic" w:hint="cs"/>
          <w:sz w:val="28"/>
          <w:szCs w:val="28"/>
          <w:rtl/>
          <w:lang w:val="en-US" w:eastAsia="ar-SA"/>
        </w:rPr>
        <w:t xml:space="preserve"> لمصطلح الأفق هي أنّه عرّفه تعريفا غامضا للغاية (...) و الواقع أنّ </w:t>
      </w:r>
      <w:proofErr w:type="spellStart"/>
      <w:r w:rsidRPr="00CB54F0">
        <w:rPr>
          <w:rFonts w:ascii="Times New Roman" w:eastAsia="Times New Roman" w:hAnsi="Times New Roman" w:cs="Simplified Arabic" w:hint="cs"/>
          <w:sz w:val="28"/>
          <w:szCs w:val="28"/>
          <w:rtl/>
          <w:lang w:val="en-US" w:eastAsia="ar-SA"/>
        </w:rPr>
        <w:t>ياوس</w:t>
      </w:r>
      <w:proofErr w:type="spellEnd"/>
      <w:r w:rsidRPr="00CB54F0">
        <w:rPr>
          <w:rFonts w:ascii="Times New Roman" w:eastAsia="Times New Roman" w:hAnsi="Times New Roman" w:cs="Simplified Arabic" w:hint="cs"/>
          <w:sz w:val="28"/>
          <w:szCs w:val="28"/>
          <w:rtl/>
          <w:lang w:val="en-US" w:eastAsia="ar-SA"/>
        </w:rPr>
        <w:t xml:space="preserve"> لم يحدّد على وجه الدقّة في أيّ موضع ما يعنيه هذا المصطلح عنده )) </w:t>
      </w:r>
      <w:r w:rsidRPr="00CB54F0">
        <w:rPr>
          <w:rFonts w:ascii="Times New Roman" w:eastAsia="Times New Roman" w:hAnsi="Times New Roman" w:cs="Simplified Arabic"/>
          <w:sz w:val="28"/>
          <w:szCs w:val="28"/>
          <w:vertAlign w:val="superscript"/>
          <w:rtl/>
          <w:lang w:val="en-US" w:eastAsia="ar-SA"/>
        </w:rPr>
        <w:footnoteReference w:customMarkFollows="1" w:id="4"/>
        <w:t>( 149 )</w:t>
      </w:r>
      <w:r w:rsidRPr="00CB54F0">
        <w:rPr>
          <w:rFonts w:ascii="Times New Roman" w:eastAsia="Times New Roman" w:hAnsi="Times New Roman" w:cs="Simplified Arabic" w:hint="cs"/>
          <w:sz w:val="28"/>
          <w:szCs w:val="28"/>
          <w:rtl/>
          <w:lang w:val="en-US" w:eastAsia="ar-SA"/>
        </w:rPr>
        <w:t xml:space="preserve"> .</w:t>
      </w:r>
    </w:p>
    <w:p w14:paraId="008E3952" w14:textId="77777777" w:rsidR="00445E66" w:rsidRPr="00CB54F0" w:rsidRDefault="00445E66" w:rsidP="00445E66">
      <w:pPr>
        <w:bidi/>
        <w:spacing w:before="120" w:after="240" w:line="240" w:lineRule="auto"/>
        <w:jc w:val="lowKashida"/>
        <w:rPr>
          <w:rFonts w:ascii="Times New Roman" w:eastAsia="Times New Roman" w:hAnsi="Times New Roman" w:cs="Simplified Arabic"/>
          <w:sz w:val="28"/>
          <w:szCs w:val="28"/>
          <w:rtl/>
          <w:lang w:val="en-US" w:eastAsia="ar-SA"/>
        </w:rPr>
      </w:pPr>
      <w:r w:rsidRPr="00CB54F0">
        <w:rPr>
          <w:rFonts w:ascii="Times New Roman" w:eastAsia="Times New Roman" w:hAnsi="Times New Roman" w:cs="Simplified Arabic" w:hint="cs"/>
          <w:sz w:val="28"/>
          <w:szCs w:val="28"/>
          <w:rtl/>
          <w:lang w:val="en-US" w:eastAsia="ar-SA"/>
        </w:rPr>
        <w:t xml:space="preserve">     إنّنا نروم ، في ظلّ هذه الأطروحة النظرية الذي تناولت أفق التوقع كمفهوم و كآلية نقدية ، تقريب جملة العناصر و الصياغات النظرية ، التي تمّ عرضها و توضيحها ، من المنظومة النقدية العربية ، التي تناولت إحدى أكبر المدوّنات الشعرية عبر تاريخها ، مُمثّلة في ديوان أبي الطيّب المتنبّي ، فلقد كان لشعر هذا الرجل الذي ملأ الدنيا و شغل الناس مصوغاته الفنّية و الفكرية لظهور مشروع نقدي يمتد في تاريخه من القرن الرابع الهجري إلى غاية إنجازات هذا القرن ، ممّا شكّل لدى هذه المنظومة النقدية مسارا يصل بين الماضي و الحاضر ، و يكشف عن تـاريخ من الشروح و الدراسات النقدية التي حـامت حول حمـى المتنبي ، و راحت تسبر أغوار الحقـائق الفنّية و التـاريخية التي أفرزتها سلسلة المنظورات ، من خلفيات أيديولوجية و مرجعيـات فكرية و قومية تنمّ عن موقف رافع أو واضع ، مستحسن أو مستهجن .</w:t>
      </w:r>
    </w:p>
    <w:p w14:paraId="6B39A453" w14:textId="77777777" w:rsidR="00445E66" w:rsidRPr="00CB54F0" w:rsidRDefault="00445E66" w:rsidP="00445E66">
      <w:pPr>
        <w:bidi/>
        <w:spacing w:before="120" w:after="240" w:line="240" w:lineRule="auto"/>
        <w:jc w:val="lowKashida"/>
        <w:rPr>
          <w:rFonts w:ascii="Times New Roman" w:eastAsia="Times New Roman" w:hAnsi="Times New Roman" w:cs="Simplified Arabic"/>
          <w:sz w:val="28"/>
          <w:szCs w:val="28"/>
          <w:rtl/>
          <w:lang w:val="en-US" w:eastAsia="ar-SA"/>
        </w:rPr>
      </w:pPr>
      <w:r w:rsidRPr="00CB54F0">
        <w:rPr>
          <w:rFonts w:ascii="Times New Roman" w:eastAsia="Times New Roman" w:hAnsi="Times New Roman" w:cs="Simplified Arabic" w:hint="cs"/>
          <w:sz w:val="28"/>
          <w:szCs w:val="28"/>
          <w:rtl/>
          <w:lang w:val="en-US" w:eastAsia="ar-SA"/>
        </w:rPr>
        <w:t xml:space="preserve">    لقد كان لشعر المتنبي ، خلال فترة معتبرة من فترات تاريخ الأدب العربي ، بصماته الواضحة في تفعيل الحركة الأدبية و النقدية التي تناولته بين شرح و دراسة ، بل لم يكن لشعر </w:t>
      </w:r>
      <w:proofErr w:type="spellStart"/>
      <w:r w:rsidRPr="00CB54F0">
        <w:rPr>
          <w:rFonts w:ascii="Times New Roman" w:eastAsia="Times New Roman" w:hAnsi="Times New Roman" w:cs="Simplified Arabic" w:hint="cs"/>
          <w:sz w:val="28"/>
          <w:szCs w:val="28"/>
          <w:rtl/>
          <w:lang w:val="en-US" w:eastAsia="ar-SA"/>
        </w:rPr>
        <w:t>آخرغير</w:t>
      </w:r>
      <w:proofErr w:type="spellEnd"/>
      <w:r w:rsidRPr="00CB54F0">
        <w:rPr>
          <w:rFonts w:ascii="Times New Roman" w:eastAsia="Times New Roman" w:hAnsi="Times New Roman" w:cs="Simplified Arabic" w:hint="cs"/>
          <w:sz w:val="28"/>
          <w:szCs w:val="28"/>
          <w:rtl/>
          <w:lang w:val="en-US" w:eastAsia="ar-SA"/>
        </w:rPr>
        <w:t xml:space="preserve"> شعر المتنبي الحظ من هذه الحركة مثل ما حظي به شعر هذا الرجل ، حتى غدا أنموذجا إبداعيا و رائعة من روائع الشعر العربي لا يمكن تجاوزها قراءة و نقدا ، بل إنّ المتنبّي أصبح ضمن الأنساق الثقافية و الفكرية التي أسّست للوعي و العقل العربيين طيلة هذا التاريخ ، و ظلّ رمزا تاريخيا حاضرا يتجدّد بتجدّد العصور و الثقافات في الأوساط العربية ، يقول </w:t>
      </w:r>
      <w:proofErr w:type="spellStart"/>
      <w:r w:rsidRPr="00CB54F0">
        <w:rPr>
          <w:rFonts w:ascii="Times New Roman" w:eastAsia="Times New Roman" w:hAnsi="Times New Roman" w:cs="Simplified Arabic" w:hint="cs"/>
          <w:sz w:val="28"/>
          <w:szCs w:val="28"/>
          <w:rtl/>
          <w:lang w:val="en-US" w:eastAsia="ar-SA"/>
        </w:rPr>
        <w:t>الغذامي</w:t>
      </w:r>
      <w:proofErr w:type="spellEnd"/>
      <w:r w:rsidRPr="00CB54F0">
        <w:rPr>
          <w:rFonts w:ascii="Times New Roman" w:eastAsia="Times New Roman" w:hAnsi="Times New Roman" w:cs="Simplified Arabic" w:hint="cs"/>
          <w:sz w:val="28"/>
          <w:szCs w:val="28"/>
          <w:rtl/>
          <w:lang w:val="en-US" w:eastAsia="ar-SA"/>
        </w:rPr>
        <w:t xml:space="preserve"> : (( و لن نجد أكثر من المتنبّي تمثيلا لروح الخطاب النسقي )) </w:t>
      </w:r>
      <w:r w:rsidRPr="00CB54F0">
        <w:rPr>
          <w:rFonts w:ascii="Times New Roman" w:eastAsia="Times New Roman" w:hAnsi="Times New Roman" w:cs="Simplified Arabic"/>
          <w:sz w:val="28"/>
          <w:szCs w:val="28"/>
          <w:vertAlign w:val="superscript"/>
          <w:rtl/>
          <w:lang w:val="en-US" w:eastAsia="ar-SA"/>
        </w:rPr>
        <w:footnoteReference w:customMarkFollows="1" w:id="5"/>
        <w:t>( 150 )</w:t>
      </w:r>
      <w:r w:rsidRPr="00CB54F0">
        <w:rPr>
          <w:rFonts w:ascii="Times New Roman" w:eastAsia="Times New Roman" w:hAnsi="Times New Roman" w:cs="Simplified Arabic" w:hint="cs"/>
          <w:sz w:val="28"/>
          <w:szCs w:val="28"/>
          <w:rtl/>
          <w:lang w:val="en-US" w:eastAsia="ar-SA"/>
        </w:rPr>
        <w:t xml:space="preserve"> ، فهو الآن جزء من المرجعيات التي شكّلت الشخصية الأدبية عبر مراحل تكوّنها تاريخيا .</w:t>
      </w:r>
    </w:p>
    <w:p w14:paraId="1D62046F" w14:textId="77777777" w:rsidR="00445E66" w:rsidRPr="00CB54F0" w:rsidRDefault="00445E66" w:rsidP="00445E66">
      <w:pPr>
        <w:bidi/>
        <w:spacing w:before="120" w:after="240" w:line="240" w:lineRule="auto"/>
        <w:jc w:val="lowKashida"/>
        <w:rPr>
          <w:rFonts w:ascii="Times New Roman" w:eastAsia="Times New Roman" w:hAnsi="Times New Roman" w:cs="Simplified Arabic"/>
          <w:sz w:val="28"/>
          <w:szCs w:val="28"/>
          <w:rtl/>
          <w:lang w:val="en-US" w:eastAsia="ar-SA"/>
        </w:rPr>
      </w:pPr>
      <w:r w:rsidRPr="00CB54F0">
        <w:rPr>
          <w:rFonts w:ascii="Times New Roman" w:eastAsia="Times New Roman" w:hAnsi="Times New Roman" w:cs="Simplified Arabic" w:hint="cs"/>
          <w:sz w:val="28"/>
          <w:szCs w:val="28"/>
          <w:rtl/>
          <w:lang w:val="en-US" w:eastAsia="ar-SA"/>
        </w:rPr>
        <w:t xml:space="preserve">    إنّ عددا كبيرا من الأسئلة </w:t>
      </w:r>
      <w:proofErr w:type="gramStart"/>
      <w:r w:rsidRPr="00CB54F0">
        <w:rPr>
          <w:rFonts w:ascii="Times New Roman" w:eastAsia="Times New Roman" w:hAnsi="Times New Roman" w:cs="Simplified Arabic" w:hint="cs"/>
          <w:sz w:val="28"/>
          <w:szCs w:val="28"/>
          <w:rtl/>
          <w:lang w:val="en-US" w:eastAsia="ar-SA"/>
        </w:rPr>
        <w:t>يحاول  ،</w:t>
      </w:r>
      <w:proofErr w:type="gramEnd"/>
      <w:r w:rsidRPr="00CB54F0">
        <w:rPr>
          <w:rFonts w:ascii="Times New Roman" w:eastAsia="Times New Roman" w:hAnsi="Times New Roman" w:cs="Simplified Arabic" w:hint="cs"/>
          <w:sz w:val="28"/>
          <w:szCs w:val="28"/>
          <w:rtl/>
          <w:lang w:val="en-US" w:eastAsia="ar-SA"/>
        </w:rPr>
        <w:t xml:space="preserve"> في ظلّ ما عرضناه ضمن مفهوم أفق التوقّع ، أن يجد للمتنبي و لشعره موضعه الأدبي و التاريخي من خلال معاينة سلسلة كبيرة من الاستقبالات ، التي تناولته شرحا و دراسة و نقدا ، و أوّل هذه الأسئلة هو : بأي أفق تمّ تلقي شعر المتنبي ؟ و بأيّ الآفاق كان المتنبي </w:t>
      </w:r>
      <w:r w:rsidRPr="00CB54F0">
        <w:rPr>
          <w:rFonts w:ascii="Times New Roman" w:eastAsia="Times New Roman" w:hAnsi="Times New Roman" w:cs="Simplified Arabic" w:hint="cs"/>
          <w:sz w:val="28"/>
          <w:szCs w:val="28"/>
          <w:rtl/>
          <w:lang w:val="en-US" w:eastAsia="ar-SA"/>
        </w:rPr>
        <w:lastRenderedPageBreak/>
        <w:t xml:space="preserve">يعرض هذا </w:t>
      </w:r>
      <w:proofErr w:type="gramStart"/>
      <w:r w:rsidRPr="00CB54F0">
        <w:rPr>
          <w:rFonts w:ascii="Times New Roman" w:eastAsia="Times New Roman" w:hAnsi="Times New Roman" w:cs="Simplified Arabic" w:hint="cs"/>
          <w:sz w:val="28"/>
          <w:szCs w:val="28"/>
          <w:rtl/>
          <w:lang w:val="en-US" w:eastAsia="ar-SA"/>
        </w:rPr>
        <w:t>الشعر ؟</w:t>
      </w:r>
      <w:proofErr w:type="gramEnd"/>
      <w:r w:rsidRPr="00CB54F0">
        <w:rPr>
          <w:rFonts w:ascii="Times New Roman" w:eastAsia="Times New Roman" w:hAnsi="Times New Roman" w:cs="Simplified Arabic" w:hint="cs"/>
          <w:sz w:val="28"/>
          <w:szCs w:val="28"/>
          <w:rtl/>
          <w:lang w:val="en-US" w:eastAsia="ar-SA"/>
        </w:rPr>
        <w:t xml:space="preserve"> لماذا بقي هذا الشاعر يُذكر مع كلّ الأزمنة فملأ الدنيا     و شغل </w:t>
      </w:r>
      <w:proofErr w:type="gramStart"/>
      <w:r w:rsidRPr="00CB54F0">
        <w:rPr>
          <w:rFonts w:ascii="Times New Roman" w:eastAsia="Times New Roman" w:hAnsi="Times New Roman" w:cs="Simplified Arabic" w:hint="cs"/>
          <w:sz w:val="28"/>
          <w:szCs w:val="28"/>
          <w:rtl/>
          <w:lang w:val="en-US" w:eastAsia="ar-SA"/>
        </w:rPr>
        <w:t>الناس ؟</w:t>
      </w:r>
      <w:proofErr w:type="gramEnd"/>
      <w:r w:rsidRPr="00CB54F0">
        <w:rPr>
          <w:rFonts w:ascii="Times New Roman" w:eastAsia="Times New Roman" w:hAnsi="Times New Roman" w:cs="Simplified Arabic" w:hint="cs"/>
          <w:sz w:val="28"/>
          <w:szCs w:val="28"/>
          <w:rtl/>
          <w:lang w:val="en-US" w:eastAsia="ar-SA"/>
        </w:rPr>
        <w:t xml:space="preserve"> ثمّ هل نتلقى هذا الشعر بأفقنا نحن أم بأفق الجمهور الأول الذي ظهر لحظة ظهور هذا </w:t>
      </w:r>
      <w:proofErr w:type="gramStart"/>
      <w:r w:rsidRPr="00CB54F0">
        <w:rPr>
          <w:rFonts w:ascii="Times New Roman" w:eastAsia="Times New Roman" w:hAnsi="Times New Roman" w:cs="Simplified Arabic" w:hint="cs"/>
          <w:sz w:val="28"/>
          <w:szCs w:val="28"/>
          <w:rtl/>
          <w:lang w:val="en-US" w:eastAsia="ar-SA"/>
        </w:rPr>
        <w:t>الشعر ؟</w:t>
      </w:r>
      <w:proofErr w:type="gramEnd"/>
      <w:r w:rsidRPr="00CB54F0">
        <w:rPr>
          <w:rFonts w:ascii="Times New Roman" w:eastAsia="Times New Roman" w:hAnsi="Times New Roman" w:cs="Simplified Arabic" w:hint="cs"/>
          <w:sz w:val="28"/>
          <w:szCs w:val="28"/>
          <w:rtl/>
          <w:lang w:val="en-US" w:eastAsia="ar-SA"/>
        </w:rPr>
        <w:t xml:space="preserve"> ما معنى أن يكون شعر المتنبي حلقة واصلة بين الماضي و </w:t>
      </w:r>
      <w:proofErr w:type="gramStart"/>
      <w:r w:rsidRPr="00CB54F0">
        <w:rPr>
          <w:rFonts w:ascii="Times New Roman" w:eastAsia="Times New Roman" w:hAnsi="Times New Roman" w:cs="Simplified Arabic" w:hint="cs"/>
          <w:sz w:val="28"/>
          <w:szCs w:val="28"/>
          <w:rtl/>
          <w:lang w:val="en-US" w:eastAsia="ar-SA"/>
        </w:rPr>
        <w:t>الحاضر ،</w:t>
      </w:r>
      <w:proofErr w:type="gramEnd"/>
      <w:r w:rsidRPr="00CB54F0">
        <w:rPr>
          <w:rFonts w:ascii="Times New Roman" w:eastAsia="Times New Roman" w:hAnsi="Times New Roman" w:cs="Simplified Arabic" w:hint="cs"/>
          <w:sz w:val="28"/>
          <w:szCs w:val="28"/>
          <w:rtl/>
          <w:lang w:val="en-US" w:eastAsia="ar-SA"/>
        </w:rPr>
        <w:t xml:space="preserve"> فيصبح التراث صوتا متكلّما فينا ؟ </w:t>
      </w:r>
    </w:p>
    <w:p w14:paraId="5450D424" w14:textId="77777777" w:rsidR="00445E66" w:rsidRPr="00CB54F0" w:rsidRDefault="00445E66" w:rsidP="00445E66">
      <w:pPr>
        <w:bidi/>
        <w:spacing w:before="120" w:after="240" w:line="240" w:lineRule="auto"/>
        <w:jc w:val="lowKashida"/>
        <w:rPr>
          <w:rFonts w:ascii="Times New Roman" w:eastAsia="Times New Roman" w:hAnsi="Times New Roman" w:cs="Simplified Arabic"/>
          <w:sz w:val="28"/>
          <w:szCs w:val="28"/>
          <w:rtl/>
          <w:lang w:val="en-US" w:eastAsia="ar-SA"/>
        </w:rPr>
      </w:pPr>
      <w:r w:rsidRPr="00CB54F0">
        <w:rPr>
          <w:rFonts w:ascii="Times New Roman" w:eastAsia="Times New Roman" w:hAnsi="Times New Roman" w:cs="Simplified Arabic" w:hint="cs"/>
          <w:sz w:val="28"/>
          <w:szCs w:val="28"/>
          <w:rtl/>
          <w:lang w:val="en-US" w:eastAsia="ar-SA"/>
        </w:rPr>
        <w:t xml:space="preserve">    إنّ ما يروم البحث تقصيه عبر فصوله التالية هو مشروعية هذه الأسئلة و حقيقتها ضمن الواقع النقدي الذي يمتد من التراث إلى حدود الزمن </w:t>
      </w:r>
      <w:proofErr w:type="gramStart"/>
      <w:r w:rsidRPr="00CB54F0">
        <w:rPr>
          <w:rFonts w:ascii="Times New Roman" w:eastAsia="Times New Roman" w:hAnsi="Times New Roman" w:cs="Simplified Arabic" w:hint="cs"/>
          <w:sz w:val="28"/>
          <w:szCs w:val="28"/>
          <w:rtl/>
          <w:lang w:val="en-US" w:eastAsia="ar-SA"/>
        </w:rPr>
        <w:t>الحاضر ،</w:t>
      </w:r>
      <w:proofErr w:type="gramEnd"/>
      <w:r w:rsidRPr="00CB54F0">
        <w:rPr>
          <w:rFonts w:ascii="Times New Roman" w:eastAsia="Times New Roman" w:hAnsi="Times New Roman" w:cs="Simplified Arabic" w:hint="cs"/>
          <w:sz w:val="28"/>
          <w:szCs w:val="28"/>
          <w:rtl/>
          <w:lang w:val="en-US" w:eastAsia="ar-SA"/>
        </w:rPr>
        <w:t xml:space="preserve"> و ليس البحث و الدراسة الموضوعية في حقيقتهما إلاّ معادلة تمتد من حدود السؤال إلى حدود الإجابة على هذا السؤال ، و ما شعر المتنبي إلاّ سؤالا تمتد إجابته عبر مرحلة تاريخية بأكملها ، و ضمن سلسلة من </w:t>
      </w:r>
      <w:proofErr w:type="spellStart"/>
      <w:r w:rsidRPr="00CB54F0">
        <w:rPr>
          <w:rFonts w:ascii="Times New Roman" w:eastAsia="Times New Roman" w:hAnsi="Times New Roman" w:cs="Simplified Arabic" w:hint="cs"/>
          <w:sz w:val="28"/>
          <w:szCs w:val="28"/>
          <w:rtl/>
          <w:lang w:val="en-US" w:eastAsia="ar-SA"/>
        </w:rPr>
        <w:t>التلقيات</w:t>
      </w:r>
      <w:proofErr w:type="spellEnd"/>
      <w:r w:rsidRPr="00CB54F0">
        <w:rPr>
          <w:rFonts w:ascii="Times New Roman" w:eastAsia="Times New Roman" w:hAnsi="Times New Roman" w:cs="Simplified Arabic" w:hint="cs"/>
          <w:sz w:val="28"/>
          <w:szCs w:val="28"/>
          <w:rtl/>
          <w:lang w:val="en-US" w:eastAsia="ar-SA"/>
        </w:rPr>
        <w:t xml:space="preserve"> التي يمثّلها الوعي التاريخي .</w:t>
      </w:r>
    </w:p>
    <w:p w14:paraId="3BE73D4C" w14:textId="77777777" w:rsidR="00445E66" w:rsidRPr="00CB54F0" w:rsidRDefault="00445E66" w:rsidP="00445E66">
      <w:pPr>
        <w:bidi/>
        <w:spacing w:before="120" w:after="240" w:line="240" w:lineRule="auto"/>
        <w:jc w:val="lowKashida"/>
        <w:rPr>
          <w:rFonts w:ascii="Times New Roman" w:eastAsia="Times New Roman" w:hAnsi="Times New Roman" w:cs="Simplified Arabic"/>
          <w:sz w:val="28"/>
          <w:szCs w:val="28"/>
          <w:rtl/>
          <w:lang w:val="en-US" w:eastAsia="ar-SA"/>
        </w:rPr>
      </w:pPr>
      <w:r w:rsidRPr="00CB54F0">
        <w:rPr>
          <w:rFonts w:ascii="Times New Roman" w:eastAsia="Times New Roman" w:hAnsi="Times New Roman" w:cs="Simplified Arabic" w:hint="cs"/>
          <w:sz w:val="28"/>
          <w:szCs w:val="28"/>
          <w:rtl/>
          <w:lang w:val="en-US" w:eastAsia="ar-SA"/>
        </w:rPr>
        <w:t xml:space="preserve">            </w:t>
      </w:r>
    </w:p>
    <w:p w14:paraId="31276CBE" w14:textId="77777777" w:rsidR="00445E66" w:rsidRPr="00CB54F0" w:rsidRDefault="00445E66" w:rsidP="00445E66">
      <w:pPr>
        <w:bidi/>
        <w:spacing w:before="120" w:after="240" w:line="240" w:lineRule="auto"/>
        <w:jc w:val="lowKashida"/>
        <w:rPr>
          <w:rFonts w:ascii="Times New Roman" w:eastAsia="Times New Roman" w:hAnsi="Times New Roman" w:cs="Simplified Arabic"/>
          <w:sz w:val="28"/>
          <w:szCs w:val="28"/>
          <w:vertAlign w:val="superscript"/>
          <w:rtl/>
          <w:lang w:eastAsia="ar-SA"/>
        </w:rPr>
      </w:pPr>
      <w:r w:rsidRPr="00CB54F0">
        <w:rPr>
          <w:rFonts w:ascii="Times New Roman" w:eastAsia="Times New Roman" w:hAnsi="Times New Roman" w:cs="Simplified Arabic" w:hint="cs"/>
          <w:sz w:val="28"/>
          <w:szCs w:val="28"/>
          <w:rtl/>
          <w:lang w:eastAsia="ar-SA"/>
        </w:rPr>
        <w:t xml:space="preserve">    </w:t>
      </w:r>
    </w:p>
    <w:p w14:paraId="50839096" w14:textId="77777777" w:rsidR="00445E66" w:rsidRDefault="00445E66" w:rsidP="00445E66">
      <w:pPr>
        <w:bidi/>
        <w:jc w:val="both"/>
      </w:pPr>
    </w:p>
    <w:p w14:paraId="2881F1D4" w14:textId="77777777" w:rsidR="005D25CA" w:rsidRDefault="005D25CA"/>
    <w:sectPr w:rsidR="005D25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9DAD18" w14:textId="77777777" w:rsidR="009D1DAE" w:rsidRDefault="009D1DAE" w:rsidP="00445E66">
      <w:pPr>
        <w:spacing w:after="0" w:line="240" w:lineRule="auto"/>
      </w:pPr>
      <w:r>
        <w:separator/>
      </w:r>
    </w:p>
  </w:endnote>
  <w:endnote w:type="continuationSeparator" w:id="0">
    <w:p w14:paraId="73F19790" w14:textId="77777777" w:rsidR="009D1DAE" w:rsidRDefault="009D1DAE" w:rsidP="00445E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8EAE0E" w14:textId="77777777" w:rsidR="009D1DAE" w:rsidRDefault="009D1DAE" w:rsidP="00445E66">
      <w:pPr>
        <w:spacing w:after="0" w:line="240" w:lineRule="auto"/>
      </w:pPr>
      <w:r>
        <w:separator/>
      </w:r>
    </w:p>
  </w:footnote>
  <w:footnote w:type="continuationSeparator" w:id="0">
    <w:p w14:paraId="122B628B" w14:textId="77777777" w:rsidR="009D1DAE" w:rsidRDefault="009D1DAE" w:rsidP="00445E66">
      <w:pPr>
        <w:spacing w:after="0" w:line="240" w:lineRule="auto"/>
      </w:pPr>
      <w:r>
        <w:continuationSeparator/>
      </w:r>
    </w:p>
  </w:footnote>
  <w:footnote w:id="1">
    <w:p w14:paraId="624EA2FB" w14:textId="77777777" w:rsidR="00445E66" w:rsidRDefault="00445E66" w:rsidP="00445E66">
      <w:pPr>
        <w:pStyle w:val="Notedebasdepage"/>
        <w:rPr>
          <w:sz w:val="24"/>
          <w:szCs w:val="24"/>
        </w:rPr>
      </w:pPr>
      <w:r>
        <w:rPr>
          <w:rStyle w:val="Appelnotedebasdep"/>
        </w:rPr>
        <w:t>( 147 )</w:t>
      </w:r>
      <w:r>
        <w:rPr>
          <w:sz w:val="24"/>
          <w:szCs w:val="24"/>
          <w:lang w:val="fr-FR"/>
        </w:rPr>
        <w:t xml:space="preserve"> </w:t>
      </w:r>
      <w:r>
        <w:rPr>
          <w:rFonts w:hint="cs"/>
          <w:sz w:val="24"/>
          <w:szCs w:val="24"/>
          <w:rtl/>
          <w:lang w:val="fr-FR"/>
        </w:rPr>
        <w:t xml:space="preserve"> - </w:t>
      </w:r>
      <w:proofErr w:type="gramStart"/>
      <w:r>
        <w:rPr>
          <w:sz w:val="22"/>
          <w:szCs w:val="22"/>
          <w:lang w:val="fr-FR"/>
        </w:rPr>
        <w:t>J .</w:t>
      </w:r>
      <w:proofErr w:type="gramEnd"/>
      <w:r>
        <w:rPr>
          <w:sz w:val="22"/>
          <w:szCs w:val="22"/>
          <w:lang w:val="fr-FR"/>
        </w:rPr>
        <w:t xml:space="preserve"> Grondin ; </w:t>
      </w:r>
      <w:smartTag w:uri="urn:schemas-microsoft-com:office:smarttags" w:element="PersonName">
        <w:smartTagPr>
          <w:attr w:name="ProductID" w:val="La Solution De"/>
        </w:smartTagPr>
        <w:r>
          <w:rPr>
            <w:sz w:val="22"/>
            <w:szCs w:val="22"/>
            <w:lang w:val="fr-FR"/>
          </w:rPr>
          <w:t>La Solution De</w:t>
        </w:r>
      </w:smartTag>
      <w:r>
        <w:rPr>
          <w:sz w:val="22"/>
          <w:szCs w:val="22"/>
          <w:lang w:val="fr-FR"/>
        </w:rPr>
        <w:t xml:space="preserve"> Dilthey Au </w:t>
      </w:r>
      <w:proofErr w:type="spellStart"/>
      <w:r>
        <w:rPr>
          <w:sz w:val="22"/>
          <w:szCs w:val="22"/>
          <w:lang w:val="fr-FR"/>
        </w:rPr>
        <w:t>Probléme</w:t>
      </w:r>
      <w:proofErr w:type="spellEnd"/>
      <w:r>
        <w:rPr>
          <w:sz w:val="22"/>
          <w:szCs w:val="22"/>
          <w:lang w:val="fr-FR"/>
        </w:rPr>
        <w:t xml:space="preserve"> Du Relativisme </w:t>
      </w:r>
      <w:proofErr w:type="gramStart"/>
      <w:r>
        <w:rPr>
          <w:sz w:val="22"/>
          <w:szCs w:val="22"/>
          <w:lang w:val="fr-FR"/>
        </w:rPr>
        <w:t>Historique ,p</w:t>
      </w:r>
      <w:proofErr w:type="gramEnd"/>
      <w:r>
        <w:rPr>
          <w:sz w:val="22"/>
          <w:szCs w:val="22"/>
          <w:lang w:val="fr-FR"/>
        </w:rPr>
        <w:t xml:space="preserve"> 473 </w:t>
      </w:r>
      <w:r>
        <w:rPr>
          <w:sz w:val="24"/>
          <w:szCs w:val="24"/>
          <w:lang w:val="fr-FR"/>
        </w:rPr>
        <w:t>.</w:t>
      </w:r>
      <w:r>
        <w:rPr>
          <w:sz w:val="24"/>
          <w:szCs w:val="24"/>
        </w:rPr>
        <w:t xml:space="preserve">      </w:t>
      </w:r>
      <w:r>
        <w:rPr>
          <w:sz w:val="24"/>
          <w:szCs w:val="24"/>
          <w:lang w:val="fr-FR"/>
        </w:rPr>
        <w:t xml:space="preserve">    </w:t>
      </w:r>
    </w:p>
  </w:footnote>
  <w:footnote w:id="2">
    <w:p w14:paraId="7DCF64E0" w14:textId="77777777" w:rsidR="00445E66" w:rsidRDefault="00445E66" w:rsidP="00445E66">
      <w:pPr>
        <w:pStyle w:val="Notedebasdepage"/>
        <w:jc w:val="lowKashida"/>
        <w:rPr>
          <w:sz w:val="24"/>
          <w:szCs w:val="24"/>
        </w:rPr>
      </w:pPr>
      <w:r>
        <w:rPr>
          <w:rStyle w:val="Appelnotedebasdep"/>
        </w:rPr>
        <w:t>( 148 )</w:t>
      </w:r>
      <w:r>
        <w:rPr>
          <w:sz w:val="24"/>
          <w:szCs w:val="24"/>
        </w:rPr>
        <w:t xml:space="preserve"> </w:t>
      </w:r>
      <w:r>
        <w:rPr>
          <w:rFonts w:hint="cs"/>
          <w:sz w:val="24"/>
          <w:szCs w:val="24"/>
          <w:rtl/>
        </w:rPr>
        <w:t xml:space="preserve"> </w:t>
      </w:r>
      <w:r>
        <w:rPr>
          <w:rFonts w:hint="cs"/>
          <w:sz w:val="22"/>
          <w:szCs w:val="22"/>
          <w:rtl/>
        </w:rPr>
        <w:t>-</w:t>
      </w:r>
      <w:r>
        <w:rPr>
          <w:sz w:val="22"/>
          <w:szCs w:val="22"/>
        </w:rPr>
        <w:t xml:space="preserve"> IBID</w:t>
      </w:r>
      <w:proofErr w:type="gramStart"/>
      <w:r>
        <w:rPr>
          <w:sz w:val="22"/>
          <w:szCs w:val="22"/>
        </w:rPr>
        <w:t xml:space="preserve"> ,</w:t>
      </w:r>
      <w:proofErr w:type="gramEnd"/>
      <w:r>
        <w:rPr>
          <w:sz w:val="22"/>
          <w:szCs w:val="22"/>
        </w:rPr>
        <w:t xml:space="preserve"> p 259 </w:t>
      </w:r>
      <w:r>
        <w:rPr>
          <w:sz w:val="24"/>
          <w:szCs w:val="24"/>
        </w:rPr>
        <w:t xml:space="preserve">.                                                                                                                     </w:t>
      </w:r>
      <w:r>
        <w:rPr>
          <w:rFonts w:hint="cs"/>
          <w:sz w:val="24"/>
          <w:szCs w:val="24"/>
          <w:rtl/>
        </w:rPr>
        <w:t xml:space="preserve"> </w:t>
      </w:r>
    </w:p>
  </w:footnote>
  <w:footnote w:id="3">
    <w:p w14:paraId="185DE295" w14:textId="77777777" w:rsidR="00445E66" w:rsidRDefault="00445E66" w:rsidP="00445E66">
      <w:pPr>
        <w:pStyle w:val="Notedebasdepage"/>
        <w:spacing w:before="120"/>
        <w:jc w:val="lowKashida"/>
        <w:rPr>
          <w:sz w:val="22"/>
          <w:szCs w:val="22"/>
          <w:rtl/>
        </w:rPr>
      </w:pPr>
      <w:r>
        <w:rPr>
          <w:rStyle w:val="Appelnotedebasdep"/>
        </w:rPr>
        <w:t>( ** )</w:t>
      </w:r>
      <w:r>
        <w:t xml:space="preserve"> </w:t>
      </w:r>
      <w:r>
        <w:rPr>
          <w:rFonts w:hint="cs"/>
          <w:rtl/>
        </w:rPr>
        <w:t xml:space="preserve"> - </w:t>
      </w:r>
      <w:r>
        <w:rPr>
          <w:rFonts w:hint="cs"/>
          <w:sz w:val="22"/>
          <w:szCs w:val="22"/>
          <w:rtl/>
        </w:rPr>
        <w:t xml:space="preserve"> في ظلّ تقاطع أطروحة </w:t>
      </w:r>
      <w:proofErr w:type="spellStart"/>
      <w:r>
        <w:rPr>
          <w:rFonts w:hint="cs"/>
          <w:sz w:val="22"/>
          <w:szCs w:val="22"/>
          <w:rtl/>
        </w:rPr>
        <w:t>ياوس</w:t>
      </w:r>
      <w:proofErr w:type="spellEnd"/>
      <w:r>
        <w:rPr>
          <w:rFonts w:hint="cs"/>
          <w:sz w:val="22"/>
          <w:szCs w:val="22"/>
          <w:rtl/>
        </w:rPr>
        <w:t xml:space="preserve"> مع النظريات الفكرية و الأطروحات الفلسفية </w:t>
      </w:r>
      <w:proofErr w:type="gramStart"/>
      <w:r>
        <w:rPr>
          <w:rFonts w:hint="cs"/>
          <w:sz w:val="22"/>
          <w:szCs w:val="22"/>
          <w:rtl/>
        </w:rPr>
        <w:t>الأخرى ،</w:t>
      </w:r>
      <w:proofErr w:type="gramEnd"/>
      <w:r>
        <w:rPr>
          <w:rFonts w:hint="cs"/>
          <w:sz w:val="22"/>
          <w:szCs w:val="22"/>
          <w:rtl/>
        </w:rPr>
        <w:t xml:space="preserve"> نفتح مجالا للإشارة إلى أنّنا وجدنا الكاتب العربي طه حسين قد ضمّن كتابه ( في الأدب الجاهلي ) سنة  1927  بعض الأفكار حول تاريخ الأدب بداخل المحور الذي تناول فيه : ( مقاييس التاريخ الأدبي )  . و كأنّنا نجده في هذه الأفكار يتقاطع مع أطروحة </w:t>
      </w:r>
      <w:proofErr w:type="spellStart"/>
      <w:r>
        <w:rPr>
          <w:rFonts w:hint="cs"/>
          <w:sz w:val="22"/>
          <w:szCs w:val="22"/>
          <w:rtl/>
        </w:rPr>
        <w:t>ياوس</w:t>
      </w:r>
      <w:proofErr w:type="spellEnd"/>
      <w:r>
        <w:rPr>
          <w:rFonts w:hint="cs"/>
          <w:sz w:val="22"/>
          <w:szCs w:val="22"/>
          <w:rtl/>
        </w:rPr>
        <w:t xml:space="preserve"> حول تاريخ الأدب ، خصوصا حول ما يرتبط بـ : منطق السؤال و الجواب  </w:t>
      </w:r>
      <w:smartTag w:uri="urn:schemas-microsoft-com:office:smarttags" w:element="PersonName">
        <w:smartTagPr>
          <w:attr w:name="ProductID" w:val="La Logique"/>
        </w:smartTagPr>
        <w:r>
          <w:rPr>
            <w:sz w:val="22"/>
            <w:szCs w:val="22"/>
          </w:rPr>
          <w:t xml:space="preserve">La </w:t>
        </w:r>
        <w:proofErr w:type="spellStart"/>
        <w:r>
          <w:rPr>
            <w:sz w:val="22"/>
            <w:szCs w:val="22"/>
          </w:rPr>
          <w:t>Logique</w:t>
        </w:r>
      </w:smartTag>
      <w:proofErr w:type="spellEnd"/>
      <w:r>
        <w:rPr>
          <w:sz w:val="22"/>
          <w:szCs w:val="22"/>
        </w:rPr>
        <w:t xml:space="preserve"> question  </w:t>
      </w:r>
      <w:proofErr w:type="spellStart"/>
      <w:r>
        <w:rPr>
          <w:sz w:val="22"/>
          <w:szCs w:val="22"/>
        </w:rPr>
        <w:t>reponse</w:t>
      </w:r>
      <w:proofErr w:type="spellEnd"/>
      <w:r>
        <w:rPr>
          <w:rFonts w:hint="cs"/>
          <w:sz w:val="22"/>
          <w:szCs w:val="22"/>
          <w:rtl/>
        </w:rPr>
        <w:t xml:space="preserve">  ، و كيف يجب على الباحث في تاريخ الأدب أن يعيد طرح الأسئلة التي جاء العمل الأدبي ليجيب عليها ، ثمّ  ما يرتبط  بأثر العمل الأدبي في معاصريه ، ثمّ علاقة هذا العمل بالأعمال الأدبية  المزامنة له ، و كيف يجب النظر إليه في ظلّ ما يُعرف عن بيئته  و جنسه الذي ينتمي إليه ، يقول طه حسين في مواضع متفرّقة من مقاله هذا : ((  و أمر التاريخ الأدبي الآن كأمر هذه الفنون البيانية ، لم يتكلّف الباحث درس حياة امرئ القيس و قراءة ديوانه و الجدّ في فهمه ، و هو يعلم أنّ اسمه </w:t>
      </w:r>
      <w:proofErr w:type="spellStart"/>
      <w:r>
        <w:rPr>
          <w:rFonts w:hint="cs"/>
          <w:sz w:val="22"/>
          <w:szCs w:val="22"/>
          <w:rtl/>
        </w:rPr>
        <w:t>حندج</w:t>
      </w:r>
      <w:proofErr w:type="spellEnd"/>
      <w:r>
        <w:rPr>
          <w:rFonts w:hint="cs"/>
          <w:sz w:val="22"/>
          <w:szCs w:val="22"/>
          <w:rtl/>
        </w:rPr>
        <w:t xml:space="preserve"> بن حجر ، و أنّ أباه كان ملكا قتله بنو أسد ، و أنّه ذهب إلى قسطنطينية ، و أنّه صاحب ( قفا نبكِ ) و ( ألا عِم صباحا أيّها الطلل البالي ) . و لكن ما </w:t>
      </w:r>
      <w:proofErr w:type="gramStart"/>
      <w:r>
        <w:rPr>
          <w:rFonts w:hint="cs"/>
          <w:sz w:val="22"/>
          <w:szCs w:val="22"/>
          <w:rtl/>
        </w:rPr>
        <w:t>( قفا</w:t>
      </w:r>
      <w:proofErr w:type="gramEnd"/>
      <w:r>
        <w:rPr>
          <w:rFonts w:hint="cs"/>
          <w:sz w:val="22"/>
          <w:szCs w:val="22"/>
          <w:rtl/>
        </w:rPr>
        <w:t xml:space="preserve"> نبكِ ) هذه ؟ و ما </w:t>
      </w:r>
      <w:proofErr w:type="gramStart"/>
      <w:r>
        <w:rPr>
          <w:rFonts w:hint="cs"/>
          <w:sz w:val="22"/>
          <w:szCs w:val="22"/>
          <w:rtl/>
        </w:rPr>
        <w:t>( ألا</w:t>
      </w:r>
      <w:proofErr w:type="gramEnd"/>
      <w:r>
        <w:rPr>
          <w:rFonts w:hint="cs"/>
          <w:sz w:val="22"/>
          <w:szCs w:val="22"/>
          <w:rtl/>
        </w:rPr>
        <w:t xml:space="preserve"> عِم صباحا ) ؟ ما </w:t>
      </w:r>
      <w:proofErr w:type="gramStart"/>
      <w:r>
        <w:rPr>
          <w:rFonts w:hint="cs"/>
          <w:sz w:val="22"/>
          <w:szCs w:val="22"/>
          <w:rtl/>
        </w:rPr>
        <w:t>موضوعهما ؟</w:t>
      </w:r>
      <w:proofErr w:type="gramEnd"/>
      <w:r>
        <w:rPr>
          <w:rFonts w:hint="cs"/>
          <w:sz w:val="22"/>
          <w:szCs w:val="22"/>
          <w:rtl/>
        </w:rPr>
        <w:t xml:space="preserve"> ما </w:t>
      </w:r>
      <w:proofErr w:type="gramStart"/>
      <w:r>
        <w:rPr>
          <w:rFonts w:hint="cs"/>
          <w:sz w:val="22"/>
          <w:szCs w:val="22"/>
          <w:rtl/>
        </w:rPr>
        <w:t>أسلوبهما ؟</w:t>
      </w:r>
      <w:proofErr w:type="gramEnd"/>
      <w:r>
        <w:rPr>
          <w:rFonts w:hint="cs"/>
          <w:sz w:val="22"/>
          <w:szCs w:val="22"/>
          <w:rtl/>
        </w:rPr>
        <w:t xml:space="preserve"> ما قيمتهما </w:t>
      </w:r>
      <w:proofErr w:type="gramStart"/>
      <w:r>
        <w:rPr>
          <w:rFonts w:hint="cs"/>
          <w:sz w:val="22"/>
          <w:szCs w:val="22"/>
          <w:rtl/>
        </w:rPr>
        <w:t>الفنّية ؟</w:t>
      </w:r>
      <w:proofErr w:type="gramEnd"/>
      <w:r>
        <w:rPr>
          <w:rFonts w:hint="cs"/>
          <w:sz w:val="22"/>
          <w:szCs w:val="22"/>
          <w:rtl/>
        </w:rPr>
        <w:t xml:space="preserve"> ما مكانتهما من الشّعر المعاصر </w:t>
      </w:r>
      <w:proofErr w:type="gramStart"/>
      <w:r>
        <w:rPr>
          <w:rFonts w:hint="cs"/>
          <w:sz w:val="22"/>
          <w:szCs w:val="22"/>
          <w:rtl/>
        </w:rPr>
        <w:t>لهما ؟</w:t>
      </w:r>
      <w:proofErr w:type="gramEnd"/>
      <w:r>
        <w:rPr>
          <w:rFonts w:hint="cs"/>
          <w:sz w:val="22"/>
          <w:szCs w:val="22"/>
          <w:rtl/>
        </w:rPr>
        <w:t xml:space="preserve"> ما مكانتهما من الشّعر الذي جاء </w:t>
      </w:r>
      <w:proofErr w:type="gramStart"/>
      <w:r>
        <w:rPr>
          <w:rFonts w:hint="cs"/>
          <w:sz w:val="22"/>
          <w:szCs w:val="22"/>
          <w:rtl/>
        </w:rPr>
        <w:t>بعدهما ؟</w:t>
      </w:r>
      <w:proofErr w:type="gramEnd"/>
      <w:r>
        <w:rPr>
          <w:rFonts w:hint="cs"/>
          <w:sz w:val="22"/>
          <w:szCs w:val="22"/>
          <w:rtl/>
        </w:rPr>
        <w:t xml:space="preserve"> ما الصّلة التي بينهما و بين نفس </w:t>
      </w:r>
      <w:proofErr w:type="gramStart"/>
      <w:r>
        <w:rPr>
          <w:rFonts w:hint="cs"/>
          <w:sz w:val="22"/>
          <w:szCs w:val="22"/>
          <w:rtl/>
        </w:rPr>
        <w:t>الشاعر ؟</w:t>
      </w:r>
      <w:proofErr w:type="gramEnd"/>
      <w:r>
        <w:rPr>
          <w:rFonts w:hint="cs"/>
          <w:sz w:val="22"/>
          <w:szCs w:val="22"/>
          <w:rtl/>
        </w:rPr>
        <w:t xml:space="preserve"> ما الصلة بينهما و بين نفوس النّاس الذين قيلتا </w:t>
      </w:r>
      <w:proofErr w:type="gramStart"/>
      <w:r>
        <w:rPr>
          <w:rFonts w:hint="cs"/>
          <w:sz w:val="22"/>
          <w:szCs w:val="22"/>
          <w:rtl/>
        </w:rPr>
        <w:t>بينهم ؟</w:t>
      </w:r>
      <w:proofErr w:type="gramEnd"/>
      <w:r>
        <w:rPr>
          <w:rFonts w:hint="cs"/>
          <w:sz w:val="22"/>
          <w:szCs w:val="22"/>
          <w:rtl/>
        </w:rPr>
        <w:t xml:space="preserve"> ))  ص </w:t>
      </w:r>
      <w:proofErr w:type="gramStart"/>
      <w:r>
        <w:rPr>
          <w:rFonts w:hint="cs"/>
          <w:sz w:val="22"/>
          <w:szCs w:val="22"/>
          <w:rtl/>
        </w:rPr>
        <w:t>41 .</w:t>
      </w:r>
      <w:proofErr w:type="gramEnd"/>
      <w:r>
        <w:rPr>
          <w:rFonts w:hint="cs"/>
          <w:sz w:val="22"/>
          <w:szCs w:val="22"/>
          <w:rtl/>
        </w:rPr>
        <w:t xml:space="preserve"> ثمّ يقول في موضع </w:t>
      </w:r>
      <w:proofErr w:type="gramStart"/>
      <w:r>
        <w:rPr>
          <w:rFonts w:hint="cs"/>
          <w:sz w:val="22"/>
          <w:szCs w:val="22"/>
          <w:rtl/>
        </w:rPr>
        <w:t>آخر :</w:t>
      </w:r>
      <w:proofErr w:type="gramEnd"/>
      <w:r>
        <w:rPr>
          <w:rFonts w:hint="cs"/>
          <w:sz w:val="22"/>
          <w:szCs w:val="22"/>
          <w:rtl/>
        </w:rPr>
        <w:t xml:space="preserve"> ((  و ربّما يفرغ رجل آخر للبحث عن شخصية كاتب أو شاعر أو عالم ، فيسلك إلى ذلك سبلا مختلفة ، يلتمس شاعره أو كاتبه أو عالمه فيما ترك من الآثار ، و يلتمسه في آثار غيره من المعاصرين له ، و يلتمسه في آثار غيره من الذين جاءوا بعده ، بل يلتمسه أحيانا في آثار مزاجه و طبعه ، ثمّ يجتهد في تحقيق الصّلة بينه و بين عصره و بيئته و جنسه ))  ص </w:t>
      </w:r>
      <w:proofErr w:type="spellStart"/>
      <w:r>
        <w:rPr>
          <w:rFonts w:hint="cs"/>
          <w:sz w:val="22"/>
          <w:szCs w:val="22"/>
          <w:rtl/>
        </w:rPr>
        <w:t>ص</w:t>
      </w:r>
      <w:proofErr w:type="spellEnd"/>
      <w:r>
        <w:rPr>
          <w:rFonts w:hint="cs"/>
          <w:sz w:val="22"/>
          <w:szCs w:val="22"/>
          <w:rtl/>
        </w:rPr>
        <w:t xml:space="preserve"> 51 . </w:t>
      </w:r>
      <w:proofErr w:type="gramStart"/>
      <w:r>
        <w:rPr>
          <w:rFonts w:hint="cs"/>
          <w:sz w:val="22"/>
          <w:szCs w:val="22"/>
          <w:rtl/>
        </w:rPr>
        <w:t>52 .</w:t>
      </w:r>
      <w:proofErr w:type="gramEnd"/>
      <w:r>
        <w:rPr>
          <w:rFonts w:hint="cs"/>
          <w:sz w:val="22"/>
          <w:szCs w:val="22"/>
          <w:rtl/>
        </w:rPr>
        <w:t xml:space="preserve">   و يقول أيضا حول فكرة اندماج أفق الباحث </w:t>
      </w:r>
      <w:proofErr w:type="gramStart"/>
      <w:r>
        <w:rPr>
          <w:rFonts w:hint="cs"/>
          <w:sz w:val="22"/>
          <w:szCs w:val="22"/>
          <w:rtl/>
        </w:rPr>
        <w:t>( المؤّرخ</w:t>
      </w:r>
      <w:proofErr w:type="gramEnd"/>
      <w:r>
        <w:rPr>
          <w:rFonts w:hint="cs"/>
          <w:sz w:val="22"/>
          <w:szCs w:val="22"/>
          <w:rtl/>
        </w:rPr>
        <w:t xml:space="preserve"> الأدبي ) مع أفق النصوص الأدبية الماضية : (( لا سبيل إذن إلى أن يبرأ مؤرّخ الأدب من شخصيته و ذوقه ، و هذا نفسه كافٍ في أن يحول بين تاريخ الأدب و بين أن يكون علما )) ص 47 . من </w:t>
      </w:r>
      <w:proofErr w:type="gramStart"/>
      <w:r>
        <w:rPr>
          <w:rFonts w:hint="cs"/>
          <w:sz w:val="22"/>
          <w:szCs w:val="22"/>
          <w:rtl/>
        </w:rPr>
        <w:t>كتاب ،</w:t>
      </w:r>
      <w:proofErr w:type="gramEnd"/>
      <w:r>
        <w:rPr>
          <w:rFonts w:hint="cs"/>
          <w:sz w:val="22"/>
          <w:szCs w:val="22"/>
          <w:rtl/>
        </w:rPr>
        <w:t xml:space="preserve"> طه حسين : في الأدب الجاهلي ، ط 16 ، دار المعارف ، القاهرة ، 1989 .</w:t>
      </w:r>
    </w:p>
  </w:footnote>
  <w:footnote w:id="4">
    <w:p w14:paraId="64CA35AF" w14:textId="77777777" w:rsidR="00445E66" w:rsidRDefault="00445E66" w:rsidP="00445E66">
      <w:pPr>
        <w:pStyle w:val="Notedebasdepage"/>
        <w:rPr>
          <w:sz w:val="22"/>
          <w:szCs w:val="22"/>
          <w:rtl/>
        </w:rPr>
      </w:pPr>
      <w:r>
        <w:rPr>
          <w:rStyle w:val="Appelnotedebasdep"/>
        </w:rPr>
        <w:t>( 149 )</w:t>
      </w:r>
      <w:r>
        <w:rPr>
          <w:sz w:val="24"/>
          <w:szCs w:val="24"/>
        </w:rPr>
        <w:t xml:space="preserve"> </w:t>
      </w:r>
      <w:r>
        <w:rPr>
          <w:rFonts w:hint="cs"/>
          <w:sz w:val="24"/>
          <w:szCs w:val="24"/>
          <w:rtl/>
        </w:rPr>
        <w:t xml:space="preserve"> </w:t>
      </w:r>
      <w:r>
        <w:rPr>
          <w:rFonts w:hint="cs"/>
          <w:sz w:val="22"/>
          <w:szCs w:val="22"/>
          <w:rtl/>
        </w:rPr>
        <w:t xml:space="preserve">-  نظرية </w:t>
      </w:r>
      <w:proofErr w:type="gramStart"/>
      <w:r>
        <w:rPr>
          <w:rFonts w:hint="cs"/>
          <w:sz w:val="22"/>
          <w:szCs w:val="22"/>
          <w:rtl/>
        </w:rPr>
        <w:t>التلقي ،</w:t>
      </w:r>
      <w:proofErr w:type="gramEnd"/>
      <w:r>
        <w:rPr>
          <w:rFonts w:hint="cs"/>
          <w:sz w:val="22"/>
          <w:szCs w:val="22"/>
          <w:rtl/>
        </w:rPr>
        <w:t xml:space="preserve"> ص 155  .</w:t>
      </w:r>
    </w:p>
  </w:footnote>
  <w:footnote w:id="5">
    <w:p w14:paraId="3C7A6652" w14:textId="77777777" w:rsidR="00445E66" w:rsidRDefault="00445E66" w:rsidP="00445E66">
      <w:pPr>
        <w:pStyle w:val="Notedebasdepage"/>
        <w:spacing w:before="120"/>
        <w:jc w:val="lowKashida"/>
        <w:rPr>
          <w:sz w:val="22"/>
          <w:szCs w:val="22"/>
          <w:rtl/>
        </w:rPr>
      </w:pPr>
      <w:r>
        <w:rPr>
          <w:rStyle w:val="Appelnotedebasdep"/>
        </w:rPr>
        <w:t>( 150 )</w:t>
      </w:r>
      <w:r>
        <w:rPr>
          <w:rFonts w:hint="cs"/>
          <w:sz w:val="24"/>
          <w:szCs w:val="24"/>
          <w:rtl/>
        </w:rPr>
        <w:t xml:space="preserve"> - </w:t>
      </w:r>
      <w:r>
        <w:rPr>
          <w:rFonts w:hint="cs"/>
          <w:sz w:val="22"/>
          <w:szCs w:val="22"/>
          <w:rtl/>
        </w:rPr>
        <w:t xml:space="preserve">عبد الله </w:t>
      </w:r>
      <w:proofErr w:type="spellStart"/>
      <w:proofErr w:type="gramStart"/>
      <w:r>
        <w:rPr>
          <w:rFonts w:hint="cs"/>
          <w:sz w:val="22"/>
          <w:szCs w:val="22"/>
          <w:rtl/>
        </w:rPr>
        <w:t>الغذامي</w:t>
      </w:r>
      <w:proofErr w:type="spellEnd"/>
      <w:r>
        <w:rPr>
          <w:rFonts w:hint="cs"/>
          <w:sz w:val="22"/>
          <w:szCs w:val="22"/>
          <w:rtl/>
        </w:rPr>
        <w:t xml:space="preserve"> :</w:t>
      </w:r>
      <w:proofErr w:type="gramEnd"/>
      <w:r>
        <w:rPr>
          <w:rFonts w:hint="cs"/>
          <w:sz w:val="22"/>
          <w:szCs w:val="22"/>
          <w:rtl/>
        </w:rPr>
        <w:t xml:space="preserve"> النقد الثقافي ( قراءة في الأنساق الثقافية العربية ) ، ط 1 ، المركز الثقافي العربي ، بيروت ،   2000 ، ص 167 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246"/>
    <w:rsid w:val="00262246"/>
    <w:rsid w:val="00445E66"/>
    <w:rsid w:val="005D25CA"/>
    <w:rsid w:val="007F4084"/>
    <w:rsid w:val="009D1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D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57639AA4"/>
  <w15:chartTrackingRefBased/>
  <w15:docId w15:val="{C3CB0CF3-9054-423B-BC19-859549FFF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D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5E66"/>
    <w:pPr>
      <w:spacing w:after="200" w:line="276" w:lineRule="auto"/>
    </w:pPr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semiHidden/>
    <w:rsid w:val="00445E66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character" w:customStyle="1" w:styleId="NotedebasdepageCar">
    <w:name w:val="Note de bas de page Car"/>
    <w:basedOn w:val="Policepardfaut"/>
    <w:link w:val="Notedebasdepage"/>
    <w:semiHidden/>
    <w:rsid w:val="00445E66"/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character" w:styleId="Appelnotedebasdep">
    <w:name w:val="footnote reference"/>
    <w:basedOn w:val="Policepardfaut"/>
    <w:semiHidden/>
    <w:rsid w:val="00445E6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652</Words>
  <Characters>3722</Characters>
  <Application>Microsoft Office Word</Application>
  <DocSecurity>0</DocSecurity>
  <Lines>31</Lines>
  <Paragraphs>8</Paragraphs>
  <ScaleCrop>false</ScaleCrop>
  <Company/>
  <LinksUpToDate>false</LinksUpToDate>
  <CharactersWithSpaces>4366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kheiro daiche</dc:creator>
  <cp:keywords/>
  <dc:description/>
  <cp:lastModifiedBy>kheiro daiche</cp:lastModifiedBy>
  <cp:revision>6</cp:revision>
  <dcterms:created xsi:type="dcterms:W3CDTF">2023-01-09T14:38:00Z</dcterms:created>
  <dcterms:modified xsi:type="dcterms:W3CDTF">2023-01-09T14:42:00Z</dcterms:modified>
</cp:coreProperties>
</file>