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538A3" w14:textId="77777777" w:rsidR="00445E66" w:rsidRPr="00445E66" w:rsidRDefault="00445E66" w:rsidP="00445E66">
      <w:pPr>
        <w:bidi/>
        <w:spacing w:before="120" w:after="240" w:line="240" w:lineRule="auto"/>
        <w:jc w:val="lowKashida"/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val="en-US" w:eastAsia="ar-SA"/>
        </w:rPr>
      </w:pPr>
      <w:r w:rsidRPr="00445E66">
        <w:rPr>
          <w:rFonts w:ascii="Times New Roman" w:eastAsia="Times New Roman" w:hAnsi="Times New Roman" w:cs="Simplified Arabic" w:hint="cs"/>
          <w:b/>
          <w:bCs/>
          <w:sz w:val="36"/>
          <w:szCs w:val="36"/>
          <w:rtl/>
          <w:lang w:val="en-US" w:eastAsia="ar-SA"/>
        </w:rPr>
        <w:t xml:space="preserve">  </w:t>
      </w:r>
      <w:r w:rsidRPr="00445E66">
        <w:rPr>
          <w:rFonts w:ascii="Times New Roman" w:eastAsia="Times New Roman" w:hAnsi="Times New Roman" w:cs="Simplified Arabic" w:hint="cs"/>
          <w:b/>
          <w:bCs/>
          <w:sz w:val="36"/>
          <w:szCs w:val="36"/>
          <w:rtl/>
          <w:lang w:val="en-US" w:eastAsia="ar-SA"/>
        </w:rPr>
        <w:t xml:space="preserve">المحاضرة </w:t>
      </w:r>
      <w:proofErr w:type="gramStart"/>
      <w:r w:rsidRPr="00445E66">
        <w:rPr>
          <w:rFonts w:ascii="Times New Roman" w:eastAsia="Times New Roman" w:hAnsi="Times New Roman" w:cs="Simplified Arabic" w:hint="cs"/>
          <w:b/>
          <w:bCs/>
          <w:sz w:val="36"/>
          <w:szCs w:val="36"/>
          <w:rtl/>
          <w:lang w:val="en-US" w:eastAsia="ar-SA"/>
        </w:rPr>
        <w:t>7 :</w:t>
      </w:r>
      <w:proofErr w:type="gramEnd"/>
      <w:r w:rsidRPr="00445E66">
        <w:rPr>
          <w:rFonts w:ascii="Times New Roman" w:eastAsia="Times New Roman" w:hAnsi="Times New Roman" w:cs="Simplified Arabic" w:hint="cs"/>
          <w:b/>
          <w:bCs/>
          <w:sz w:val="36"/>
          <w:szCs w:val="36"/>
          <w:rtl/>
          <w:lang w:val="en-US" w:eastAsia="ar-SA"/>
        </w:rPr>
        <w:t xml:space="preserve"> اندماج الآفاق :</w:t>
      </w:r>
    </w:p>
    <w:p w14:paraId="5D3E894F" w14:textId="77EAC074" w:rsidR="00445E66" w:rsidRPr="00CB54F0" w:rsidRDefault="007F4084" w:rsidP="00445E66">
      <w:pPr>
        <w:bidi/>
        <w:spacing w:before="120" w:after="24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  <w:lang w:val="en-US" w:eastAsia="ar-SA"/>
        </w:rPr>
      </w:pPr>
      <w:r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  </w:t>
      </w:r>
      <w:r w:rsidR="00445E66"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 إنّ القارئ في لقائه مع النصّ يُفعّلُ فهمه المسبق الذي يشمل التوقّعات المجسّدة ، التي لها علاقة بأفق غاياته و رغباته و احتياجاته و تجاربه ، كما يحدّدها طبعا المجتمع أو الطبقة التي هو جزء فيها ، أو التي يحدّدها تاريخه الشخصي ، و يمكن أن نشير هنا إلى التجربة </w:t>
      </w:r>
      <w:proofErr w:type="spellStart"/>
      <w:r w:rsidR="00445E66"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المعاشة</w:t>
      </w:r>
      <w:proofErr w:type="spellEnd"/>
      <w:r w:rsidR="00445E66"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كما صاغها </w:t>
      </w:r>
      <w:proofErr w:type="spellStart"/>
      <w:r w:rsidR="00445E66"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ديلثي</w:t>
      </w:r>
      <w:proofErr w:type="spellEnd"/>
      <w:r w:rsidR="00445E66"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ضمن الوعي التاريخي : (( ...يرى </w:t>
      </w:r>
      <w:proofErr w:type="spellStart"/>
      <w:r w:rsidR="00445E66"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ديلثي</w:t>
      </w:r>
      <w:proofErr w:type="spellEnd"/>
      <w:r w:rsidR="00445E66"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أيضا ، بأنّ الوعي التاريخي هو حلّ لمشكلة الحقيقة )) </w:t>
      </w:r>
      <w:r w:rsidR="00445E66" w:rsidRPr="00CB54F0">
        <w:rPr>
          <w:rFonts w:ascii="Times New Roman" w:eastAsia="Times New Roman" w:hAnsi="Times New Roman" w:cs="Simplified Arabic"/>
          <w:sz w:val="28"/>
          <w:szCs w:val="28"/>
          <w:vertAlign w:val="superscript"/>
          <w:rtl/>
          <w:lang w:val="en-US" w:eastAsia="ar-SA"/>
        </w:rPr>
        <w:footnoteReference w:customMarkFollows="1" w:id="1"/>
        <w:t>( 147 )</w:t>
      </w:r>
      <w:r w:rsidR="00445E66"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، و بالتالي فإنّ لقاء القارئ مع النصّ يترجم لقاء أفقين مندمجين ، أفق الفهم المسبق للقارئ ، الذي يتضمن استعداده و مناخه الفكري و النفسي ، و أفق المناخ الأدبي للعمل الذي يتضمن شكله و معاييره و أدواته الفنّية و اللسانية . إنّ اندماج هذين </w:t>
      </w:r>
      <w:proofErr w:type="gramStart"/>
      <w:r w:rsidR="00445E66"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الأفقين ،</w:t>
      </w:r>
      <w:proofErr w:type="gramEnd"/>
      <w:r w:rsidR="00445E66"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يقول </w:t>
      </w:r>
      <w:proofErr w:type="spellStart"/>
      <w:r w:rsidR="00445E66"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ياوس</w:t>
      </w:r>
      <w:proofErr w:type="spellEnd"/>
      <w:r w:rsidR="00445E66"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:       (( يمكن أن يتفعّل بصورة عفوية داخل متعة التوقّعات التي أجاب عليها العمل ، و داخل التحرر من الأعباء و الرتابة اليومية ، و داخل التماهي الذي قبِلَ به القارئ كما كان مقترحا من طرف العمل )) </w:t>
      </w:r>
      <w:r w:rsidR="00445E66" w:rsidRPr="00CB54F0">
        <w:rPr>
          <w:rFonts w:ascii="Times New Roman" w:eastAsia="Times New Roman" w:hAnsi="Times New Roman" w:cs="Simplified Arabic"/>
          <w:sz w:val="28"/>
          <w:szCs w:val="28"/>
          <w:vertAlign w:val="superscript"/>
          <w:rtl/>
          <w:lang w:val="en-US" w:eastAsia="ar-SA"/>
        </w:rPr>
        <w:footnoteReference w:customMarkFollows="1" w:id="2"/>
        <w:t>( 148 )</w:t>
      </w:r>
      <w:r w:rsidR="00445E66"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. </w:t>
      </w:r>
      <w:proofErr w:type="spellStart"/>
      <w:r w:rsidR="00445E66"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غيرأنّ</w:t>
      </w:r>
      <w:proofErr w:type="spellEnd"/>
      <w:r w:rsidR="00445E66"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هذا الاندماج يمكنه أن يأخذ منحى </w:t>
      </w:r>
      <w:proofErr w:type="gramStart"/>
      <w:r w:rsidR="00445E66"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عكسيا ،</w:t>
      </w:r>
      <w:proofErr w:type="gramEnd"/>
      <w:r w:rsidR="00445E66"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حيث يمكن أن تتفعّل الملكة النقدية لدى القارئ ، أو حين يتمّ دحض هذا التوقّع من طرف العمل ، و هنا يمكن للقارئ أن يقبل أو أن يرفض دمج التجربة الأدبية الجديدة في أفق تجربته الخاصة .</w:t>
      </w:r>
    </w:p>
    <w:p w14:paraId="43268C17" w14:textId="77777777" w:rsidR="00445E66" w:rsidRPr="00CB54F0" w:rsidRDefault="00445E66" w:rsidP="00445E66">
      <w:pPr>
        <w:bidi/>
        <w:spacing w:before="120" w:after="24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  <w:lang w:val="en-US" w:eastAsia="ar-SA"/>
        </w:rPr>
      </w:pPr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   لقد أراد </w:t>
      </w:r>
      <w:proofErr w:type="spellStart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ياوس</w:t>
      </w:r>
      <w:proofErr w:type="spell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أن يعيد لتجربة القارئ فعاليتها مع النصّ ، و دورها في تشكيل مسيرة تاريخ الأدب ضمن مفهوم أفق التوقّع ، إذ ليس العمل الأدبي طاقة فنّية أو أدبية متمكّنة يمكنها أن تقول كلّ شيء متى شاءت و أينما  شاءت ، و بهذا التصوّر فإنّ العمل يعرض مضمونه و شكله بدرجة واحدة مع كلّ تجربة و في كلّ عصر ؛ بل إنّ تجربة القارئ هي الطاقة الموازية لتفعيل هذا   العمل ، و استنطاقه بما يفتح المجال لاندماج الأفقين ، أفق العمل و أفق القارئ ، و بالتالي لقاء العالم الفنّي و الأدبي مع العالم الواقعي ( التاريخي أو اليومي ) .</w:t>
      </w:r>
    </w:p>
    <w:p w14:paraId="38D939E1" w14:textId="77777777" w:rsidR="00445E66" w:rsidRPr="00CB54F0" w:rsidRDefault="00445E66" w:rsidP="00445E66">
      <w:pPr>
        <w:bidi/>
        <w:spacing w:before="120" w:after="24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  <w:lang w:val="en-US" w:eastAsia="ar-SA"/>
        </w:rPr>
      </w:pPr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   هذه أهمّ المفاهيم التي عرضها </w:t>
      </w:r>
      <w:proofErr w:type="spellStart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ياوس</w:t>
      </w:r>
      <w:proofErr w:type="spell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حول فكرة أفق </w:t>
      </w:r>
      <w:proofErr w:type="gramStart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التوقّع ،</w:t>
      </w:r>
      <w:proofErr w:type="gram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و إن كنا لم نقف على الكثير من جزئياتها التي تتقاطع فيها أراء </w:t>
      </w:r>
      <w:proofErr w:type="spellStart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ياوس</w:t>
      </w:r>
      <w:proofErr w:type="spell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مع أطروحات النظريات الفكرية و الفلسفية الأخرى </w:t>
      </w:r>
      <w:r w:rsidRPr="00CB54F0">
        <w:rPr>
          <w:rFonts w:ascii="Times New Roman" w:eastAsia="Times New Roman" w:hAnsi="Times New Roman" w:cs="Simplified Arabic"/>
          <w:sz w:val="28"/>
          <w:szCs w:val="28"/>
          <w:vertAlign w:val="superscript"/>
          <w:rtl/>
          <w:lang w:val="en-US" w:eastAsia="ar-SA"/>
        </w:rPr>
        <w:footnoteReference w:customMarkFollows="1" w:id="3"/>
        <w:t>( ** )</w:t>
      </w:r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، ذلك أنّ </w:t>
      </w:r>
      <w:proofErr w:type="spellStart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lastRenderedPageBreak/>
        <w:t>ياوس</w:t>
      </w:r>
      <w:proofErr w:type="spell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، كما يقول </w:t>
      </w:r>
      <w:proofErr w:type="spellStart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هولب</w:t>
      </w:r>
      <w:proofErr w:type="spell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: (( و المشكلة في استخدام </w:t>
      </w:r>
      <w:proofErr w:type="spellStart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ياوس</w:t>
      </w:r>
      <w:proofErr w:type="spell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لمصطلح الأفق هي أنّه عرّفه تعريفا غامضا للغاية (...) و الواقع أنّ </w:t>
      </w:r>
      <w:proofErr w:type="spellStart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ياوس</w:t>
      </w:r>
      <w:proofErr w:type="spell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لم يحدّد على وجه الدقّة في أيّ موضع ما يعنيه هذا المصطلح عنده )) </w:t>
      </w:r>
      <w:r w:rsidRPr="00CB54F0">
        <w:rPr>
          <w:rFonts w:ascii="Times New Roman" w:eastAsia="Times New Roman" w:hAnsi="Times New Roman" w:cs="Simplified Arabic"/>
          <w:sz w:val="28"/>
          <w:szCs w:val="28"/>
          <w:vertAlign w:val="superscript"/>
          <w:rtl/>
          <w:lang w:val="en-US" w:eastAsia="ar-SA"/>
        </w:rPr>
        <w:footnoteReference w:customMarkFollows="1" w:id="4"/>
        <w:t>( 149 )</w:t>
      </w:r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.</w:t>
      </w:r>
    </w:p>
    <w:p w14:paraId="008E3952" w14:textId="77777777" w:rsidR="00445E66" w:rsidRPr="00CB54F0" w:rsidRDefault="00445E66" w:rsidP="00445E66">
      <w:pPr>
        <w:bidi/>
        <w:spacing w:before="120" w:after="24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  <w:lang w:val="en-US" w:eastAsia="ar-SA"/>
        </w:rPr>
      </w:pPr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    إنّنا نروم ، في ظلّ هذه الأطروحة النظرية الذي تناولت أفق التوقع كمفهوم و كآلية نقدية ، تقريب جملة العناصر و الصياغات النظرية ، التي تمّ عرضها و توضيحها ، من المنظومة النقدية العربية ، التي تناولت إحدى أكبر المدوّنات الشعرية عبر تاريخها ، مُمثّلة في ديوان أبي الطيّب المتنبّي ، فلقد كان لشعر هذا الرجل الذي ملأ الدنيا و شغل الناس مصوغاته الفنّية و الفكرية لظهور مشروع نقدي يمتد في تاريخه من القرن الرابع الهجري إلى غاية إنجازات هذا القرن ، ممّا شكّل لدى هذه المنظومة النقدية مسارا يصل بين الماضي و الحاضر ، و يكشف عن تـاريخ من الشروح و الدراسات النقدية التي حـامت حول حمـى المتنبي ، و راحت تسبر أغوار الحقـائق الفنّية و التـاريخية التي أفرزتها سلسلة المنظورات ، من خلفيات أيديولوجية و مرجعيـات فكرية و قومية تنمّ عن موقف رافع أو واضع ، مستحسن أو مستهجن .</w:t>
      </w:r>
    </w:p>
    <w:p w14:paraId="6B39A453" w14:textId="77777777" w:rsidR="00445E66" w:rsidRPr="00CB54F0" w:rsidRDefault="00445E66" w:rsidP="00445E66">
      <w:pPr>
        <w:bidi/>
        <w:spacing w:before="120" w:after="24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  <w:lang w:val="en-US" w:eastAsia="ar-SA"/>
        </w:rPr>
      </w:pPr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   لقد كان لشعر المتنبي ، خلال فترة معتبرة من فترات تاريخ الأدب العربي ، بصماته الواضحة في تفعيل الحركة الأدبية و النقدية التي تناولته بين شرح و دراسة ، بل لم يكن لشعر </w:t>
      </w:r>
      <w:proofErr w:type="spellStart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آخرغير</w:t>
      </w:r>
      <w:proofErr w:type="spell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شعر المتنبي الحظ من هذه الحركة مثل ما حظي به شعر هذا الرجل ، حتى غدا أنموذجا إبداعيا و رائعة من روائع الشعر العربي لا يمكن تجاوزها قراءة و نقدا ، بل إنّ المتنبّي أصبح ضمن الأنساق الثقافية و الفكرية التي أسّست للوعي و العقل العربيين طيلة هذا التاريخ ، و ظلّ رمزا تاريخيا حاضرا يتجدّد بتجدّد العصور و الثقافات في الأوساط العربية ، يقول </w:t>
      </w:r>
      <w:proofErr w:type="spellStart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الغذامي</w:t>
      </w:r>
      <w:proofErr w:type="spell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: (( و لن نجد أكثر من المتنبّي تمثيلا لروح الخطاب النسقي )) </w:t>
      </w:r>
      <w:r w:rsidRPr="00CB54F0">
        <w:rPr>
          <w:rFonts w:ascii="Times New Roman" w:eastAsia="Times New Roman" w:hAnsi="Times New Roman" w:cs="Simplified Arabic"/>
          <w:sz w:val="28"/>
          <w:szCs w:val="28"/>
          <w:vertAlign w:val="superscript"/>
          <w:rtl/>
          <w:lang w:val="en-US" w:eastAsia="ar-SA"/>
        </w:rPr>
        <w:footnoteReference w:customMarkFollows="1" w:id="5"/>
        <w:t>( 150 )</w:t>
      </w:r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، فهو الآن جزء من المرجعيات التي شكّلت الشخصية الأدبية عبر مراحل تكوّنها تاريخيا .</w:t>
      </w:r>
    </w:p>
    <w:p w14:paraId="1D62046F" w14:textId="77777777" w:rsidR="00445E66" w:rsidRPr="00CB54F0" w:rsidRDefault="00445E66" w:rsidP="00445E66">
      <w:pPr>
        <w:bidi/>
        <w:spacing w:before="120" w:after="24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  <w:lang w:val="en-US" w:eastAsia="ar-SA"/>
        </w:rPr>
      </w:pPr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   إنّ عددا كبيرا من الأسئلة </w:t>
      </w:r>
      <w:proofErr w:type="gramStart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يحاول  ،</w:t>
      </w:r>
      <w:proofErr w:type="gram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في ظلّ ما عرضناه ضمن مفهوم أفق التوقّع ، أن يجد للمتنبي و لشعره موضعه الأدبي و التاريخي من خلال معاينة سلسلة كبيرة من الاستقبالات ، التي تناولته شرحا و دراسة و نقدا ، و أوّل هذه الأسئلة هو : بأي أفق تمّ تلقي شعر المتنبي ؟ و بأيّ الآفاق كان المتنبي </w:t>
      </w:r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lastRenderedPageBreak/>
        <w:t xml:space="preserve">يعرض هذا </w:t>
      </w:r>
      <w:proofErr w:type="gramStart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الشعر ؟</w:t>
      </w:r>
      <w:proofErr w:type="gram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لماذا بقي هذا الشاعر يُذكر مع كلّ الأزمنة فملأ الدنيا     و شغل </w:t>
      </w:r>
      <w:proofErr w:type="gramStart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الناس ؟</w:t>
      </w:r>
      <w:proofErr w:type="gram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ثمّ هل نتلقى هذا الشعر بأفقنا نحن أم بأفق الجمهور الأول الذي ظهر لحظة ظهور هذا </w:t>
      </w:r>
      <w:proofErr w:type="gramStart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الشعر ؟</w:t>
      </w:r>
      <w:proofErr w:type="gram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ما معنى أن يكون شعر المتنبي حلقة واصلة بين الماضي و </w:t>
      </w:r>
      <w:proofErr w:type="gramStart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الحاضر ،</w:t>
      </w:r>
      <w:proofErr w:type="gram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فيصبح التراث صوتا متكلّما فينا ؟ </w:t>
      </w:r>
    </w:p>
    <w:p w14:paraId="5450D424" w14:textId="77777777" w:rsidR="00445E66" w:rsidRPr="00CB54F0" w:rsidRDefault="00445E66" w:rsidP="00445E66">
      <w:pPr>
        <w:bidi/>
        <w:spacing w:before="120" w:after="24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  <w:lang w:val="en-US" w:eastAsia="ar-SA"/>
        </w:rPr>
      </w:pPr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   إنّ ما يروم البحث تقصيه عبر فصوله التالية هو مشروعية هذه الأسئلة و حقيقتها ضمن الواقع النقدي الذي يمتد من التراث إلى حدود الزمن </w:t>
      </w:r>
      <w:proofErr w:type="gramStart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الحاضر ،</w:t>
      </w:r>
      <w:proofErr w:type="gram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و ليس البحث و الدراسة الموضوعية في حقيقتهما إلاّ معادلة تمتد من حدود السؤال إلى حدود الإجابة على هذا السؤال ، و ما شعر المتنبي إلاّ سؤالا تمتد إجابته عبر مرحلة تاريخية بأكملها ، و ضمن سلسلة من </w:t>
      </w:r>
      <w:proofErr w:type="spellStart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التلقيات</w:t>
      </w:r>
      <w:proofErr w:type="spell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التي يمثّلها الوعي التاريخي .</w:t>
      </w:r>
    </w:p>
    <w:p w14:paraId="3BE73D4C" w14:textId="77777777" w:rsidR="00445E66" w:rsidRPr="00CB54F0" w:rsidRDefault="00445E66" w:rsidP="00445E66">
      <w:pPr>
        <w:bidi/>
        <w:spacing w:before="120" w:after="24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  <w:lang w:val="en-US" w:eastAsia="ar-SA"/>
        </w:rPr>
      </w:pPr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           </w:t>
      </w:r>
    </w:p>
    <w:p w14:paraId="31276CBE" w14:textId="77777777" w:rsidR="00445E66" w:rsidRPr="00CB54F0" w:rsidRDefault="00445E66" w:rsidP="00445E66">
      <w:pPr>
        <w:bidi/>
        <w:spacing w:before="120" w:after="24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vertAlign w:val="superscript"/>
          <w:rtl/>
          <w:lang w:eastAsia="ar-SA"/>
        </w:rPr>
      </w:pPr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eastAsia="ar-SA"/>
        </w:rPr>
        <w:t xml:space="preserve">    </w:t>
      </w:r>
    </w:p>
    <w:p w14:paraId="50839096" w14:textId="77777777" w:rsidR="00445E66" w:rsidRDefault="00445E66" w:rsidP="00445E66">
      <w:pPr>
        <w:bidi/>
        <w:jc w:val="both"/>
      </w:pPr>
    </w:p>
    <w:p w14:paraId="2881F1D4" w14:textId="77777777" w:rsidR="005D25CA" w:rsidRDefault="005D25CA"/>
    <w:sectPr w:rsidR="005D2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AD18" w14:textId="77777777" w:rsidR="009D1DAE" w:rsidRDefault="009D1DAE" w:rsidP="00445E66">
      <w:pPr>
        <w:spacing w:after="0" w:line="240" w:lineRule="auto"/>
      </w:pPr>
      <w:r>
        <w:separator/>
      </w:r>
    </w:p>
  </w:endnote>
  <w:endnote w:type="continuationSeparator" w:id="0">
    <w:p w14:paraId="73F19790" w14:textId="77777777" w:rsidR="009D1DAE" w:rsidRDefault="009D1DAE" w:rsidP="0044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EAE0E" w14:textId="77777777" w:rsidR="009D1DAE" w:rsidRDefault="009D1DAE" w:rsidP="00445E66">
      <w:pPr>
        <w:spacing w:after="0" w:line="240" w:lineRule="auto"/>
      </w:pPr>
      <w:r>
        <w:separator/>
      </w:r>
    </w:p>
  </w:footnote>
  <w:footnote w:type="continuationSeparator" w:id="0">
    <w:p w14:paraId="122B628B" w14:textId="77777777" w:rsidR="009D1DAE" w:rsidRDefault="009D1DAE" w:rsidP="00445E66">
      <w:pPr>
        <w:spacing w:after="0" w:line="240" w:lineRule="auto"/>
      </w:pPr>
      <w:r>
        <w:continuationSeparator/>
      </w:r>
    </w:p>
  </w:footnote>
  <w:footnote w:id="1">
    <w:p w14:paraId="624EA2FB" w14:textId="77777777" w:rsidR="00445E66" w:rsidRDefault="00445E66" w:rsidP="00445E66">
      <w:pPr>
        <w:pStyle w:val="Notedebasdepage"/>
        <w:rPr>
          <w:sz w:val="24"/>
          <w:szCs w:val="24"/>
        </w:rPr>
      </w:pPr>
      <w:r>
        <w:rPr>
          <w:rStyle w:val="Appelnotedebasdep"/>
        </w:rPr>
        <w:t>( 147 )</w:t>
      </w:r>
      <w:r>
        <w:rPr>
          <w:sz w:val="24"/>
          <w:szCs w:val="24"/>
          <w:lang w:val="fr-FR"/>
        </w:rPr>
        <w:t xml:space="preserve"> </w:t>
      </w:r>
      <w:r>
        <w:rPr>
          <w:rFonts w:hint="cs"/>
          <w:sz w:val="24"/>
          <w:szCs w:val="24"/>
          <w:rtl/>
          <w:lang w:val="fr-FR"/>
        </w:rPr>
        <w:t xml:space="preserve"> - </w:t>
      </w:r>
      <w:proofErr w:type="gramStart"/>
      <w:r>
        <w:rPr>
          <w:sz w:val="22"/>
          <w:szCs w:val="22"/>
          <w:lang w:val="fr-FR"/>
        </w:rPr>
        <w:t>J .</w:t>
      </w:r>
      <w:proofErr w:type="gramEnd"/>
      <w:r>
        <w:rPr>
          <w:sz w:val="22"/>
          <w:szCs w:val="22"/>
          <w:lang w:val="fr-FR"/>
        </w:rPr>
        <w:t xml:space="preserve"> Grondin ; </w:t>
      </w:r>
      <w:smartTag w:uri="urn:schemas-microsoft-com:office:smarttags" w:element="PersonName">
        <w:smartTagPr>
          <w:attr w:name="ProductID" w:val="La Solution De"/>
        </w:smartTagPr>
        <w:r>
          <w:rPr>
            <w:sz w:val="22"/>
            <w:szCs w:val="22"/>
            <w:lang w:val="fr-FR"/>
          </w:rPr>
          <w:t>La Solution De</w:t>
        </w:r>
      </w:smartTag>
      <w:r>
        <w:rPr>
          <w:sz w:val="22"/>
          <w:szCs w:val="22"/>
          <w:lang w:val="fr-FR"/>
        </w:rPr>
        <w:t xml:space="preserve"> Dilthey Au </w:t>
      </w:r>
      <w:proofErr w:type="spellStart"/>
      <w:r>
        <w:rPr>
          <w:sz w:val="22"/>
          <w:szCs w:val="22"/>
          <w:lang w:val="fr-FR"/>
        </w:rPr>
        <w:t>Probléme</w:t>
      </w:r>
      <w:proofErr w:type="spellEnd"/>
      <w:r>
        <w:rPr>
          <w:sz w:val="22"/>
          <w:szCs w:val="22"/>
          <w:lang w:val="fr-FR"/>
        </w:rPr>
        <w:t xml:space="preserve"> Du Relativisme </w:t>
      </w:r>
      <w:proofErr w:type="gramStart"/>
      <w:r>
        <w:rPr>
          <w:sz w:val="22"/>
          <w:szCs w:val="22"/>
          <w:lang w:val="fr-FR"/>
        </w:rPr>
        <w:t>Historique ,p</w:t>
      </w:r>
      <w:proofErr w:type="gramEnd"/>
      <w:r>
        <w:rPr>
          <w:sz w:val="22"/>
          <w:szCs w:val="22"/>
          <w:lang w:val="fr-FR"/>
        </w:rPr>
        <w:t xml:space="preserve"> 473 </w:t>
      </w:r>
      <w:r>
        <w:rPr>
          <w:sz w:val="24"/>
          <w:szCs w:val="24"/>
          <w:lang w:val="fr-FR"/>
        </w:rPr>
        <w:t>.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  <w:lang w:val="fr-FR"/>
        </w:rPr>
        <w:t xml:space="preserve">    </w:t>
      </w:r>
    </w:p>
  </w:footnote>
  <w:footnote w:id="2">
    <w:p w14:paraId="7DCF64E0" w14:textId="77777777" w:rsidR="00445E66" w:rsidRDefault="00445E66" w:rsidP="00445E66">
      <w:pPr>
        <w:pStyle w:val="Notedebasdepage"/>
        <w:jc w:val="lowKashida"/>
        <w:rPr>
          <w:sz w:val="24"/>
          <w:szCs w:val="24"/>
        </w:rPr>
      </w:pPr>
      <w:r>
        <w:rPr>
          <w:rStyle w:val="Appelnotedebasdep"/>
        </w:rPr>
        <w:t>( 148 )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2"/>
          <w:szCs w:val="22"/>
          <w:rtl/>
        </w:rPr>
        <w:t>-</w:t>
      </w:r>
      <w:r>
        <w:rPr>
          <w:sz w:val="22"/>
          <w:szCs w:val="22"/>
        </w:rPr>
        <w:t xml:space="preserve"> IBID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p 259 </w:t>
      </w:r>
      <w:r>
        <w:rPr>
          <w:sz w:val="24"/>
          <w:szCs w:val="24"/>
        </w:rPr>
        <w:t xml:space="preserve">.                                                                                                                     </w:t>
      </w:r>
      <w:r>
        <w:rPr>
          <w:rFonts w:hint="cs"/>
          <w:sz w:val="24"/>
          <w:szCs w:val="24"/>
          <w:rtl/>
        </w:rPr>
        <w:t xml:space="preserve"> </w:t>
      </w:r>
    </w:p>
  </w:footnote>
  <w:footnote w:id="3">
    <w:p w14:paraId="185DE295" w14:textId="77777777" w:rsidR="00445E66" w:rsidRDefault="00445E66" w:rsidP="00445E66">
      <w:pPr>
        <w:pStyle w:val="Notedebasdepage"/>
        <w:spacing w:before="120"/>
        <w:jc w:val="lowKashida"/>
        <w:rPr>
          <w:sz w:val="22"/>
          <w:szCs w:val="22"/>
          <w:rtl/>
        </w:rPr>
      </w:pPr>
      <w:r>
        <w:rPr>
          <w:rStyle w:val="Appelnotedebasdep"/>
        </w:rPr>
        <w:t>( ** )</w:t>
      </w:r>
      <w:r>
        <w:t xml:space="preserve"> </w:t>
      </w:r>
      <w:r>
        <w:rPr>
          <w:rFonts w:hint="cs"/>
          <w:rtl/>
        </w:rPr>
        <w:t xml:space="preserve"> - </w:t>
      </w:r>
      <w:r>
        <w:rPr>
          <w:rFonts w:hint="cs"/>
          <w:sz w:val="22"/>
          <w:szCs w:val="22"/>
          <w:rtl/>
        </w:rPr>
        <w:t xml:space="preserve"> في ظلّ تقاطع أطروحة </w:t>
      </w:r>
      <w:proofErr w:type="spellStart"/>
      <w:r>
        <w:rPr>
          <w:rFonts w:hint="cs"/>
          <w:sz w:val="22"/>
          <w:szCs w:val="22"/>
          <w:rtl/>
        </w:rPr>
        <w:t>ياوس</w:t>
      </w:r>
      <w:proofErr w:type="spellEnd"/>
      <w:r>
        <w:rPr>
          <w:rFonts w:hint="cs"/>
          <w:sz w:val="22"/>
          <w:szCs w:val="22"/>
          <w:rtl/>
        </w:rPr>
        <w:t xml:space="preserve"> مع النظريات الفكرية و الأطروحات الفلسفية </w:t>
      </w:r>
      <w:proofErr w:type="gramStart"/>
      <w:r>
        <w:rPr>
          <w:rFonts w:hint="cs"/>
          <w:sz w:val="22"/>
          <w:szCs w:val="22"/>
          <w:rtl/>
        </w:rPr>
        <w:t>الأخرى ،</w:t>
      </w:r>
      <w:proofErr w:type="gramEnd"/>
      <w:r>
        <w:rPr>
          <w:rFonts w:hint="cs"/>
          <w:sz w:val="22"/>
          <w:szCs w:val="22"/>
          <w:rtl/>
        </w:rPr>
        <w:t xml:space="preserve"> نفتح مجالا للإشارة إلى أنّنا وجدنا الكاتب العربي طه حسين قد ضمّن كتابه ( في الأدب الجاهلي ) سنة  1927  بعض الأفكار حول تاريخ الأدب بداخل المحور الذي تناول فيه : ( مقاييس التاريخ الأدبي )  . و كأنّنا نجده في هذه الأفكار يتقاطع مع أطروحة </w:t>
      </w:r>
      <w:proofErr w:type="spellStart"/>
      <w:r>
        <w:rPr>
          <w:rFonts w:hint="cs"/>
          <w:sz w:val="22"/>
          <w:szCs w:val="22"/>
          <w:rtl/>
        </w:rPr>
        <w:t>ياوس</w:t>
      </w:r>
      <w:proofErr w:type="spellEnd"/>
      <w:r>
        <w:rPr>
          <w:rFonts w:hint="cs"/>
          <w:sz w:val="22"/>
          <w:szCs w:val="22"/>
          <w:rtl/>
        </w:rPr>
        <w:t xml:space="preserve"> حول تاريخ الأدب ، خصوصا حول ما يرتبط بـ : منطق السؤال و الجواب  </w:t>
      </w:r>
      <w:smartTag w:uri="urn:schemas-microsoft-com:office:smarttags" w:element="PersonName">
        <w:smartTagPr>
          <w:attr w:name="ProductID" w:val="La Logique"/>
        </w:smartTagPr>
        <w:r>
          <w:rPr>
            <w:sz w:val="22"/>
            <w:szCs w:val="22"/>
          </w:rPr>
          <w:t xml:space="preserve">La </w:t>
        </w:r>
        <w:proofErr w:type="spellStart"/>
        <w:r>
          <w:rPr>
            <w:sz w:val="22"/>
            <w:szCs w:val="22"/>
          </w:rPr>
          <w:t>Logique</w:t>
        </w:r>
      </w:smartTag>
      <w:proofErr w:type="spellEnd"/>
      <w:r>
        <w:rPr>
          <w:sz w:val="22"/>
          <w:szCs w:val="22"/>
        </w:rPr>
        <w:t xml:space="preserve"> question  </w:t>
      </w:r>
      <w:proofErr w:type="spellStart"/>
      <w:r>
        <w:rPr>
          <w:sz w:val="22"/>
          <w:szCs w:val="22"/>
        </w:rPr>
        <w:t>reponse</w:t>
      </w:r>
      <w:proofErr w:type="spellEnd"/>
      <w:r>
        <w:rPr>
          <w:rFonts w:hint="cs"/>
          <w:sz w:val="22"/>
          <w:szCs w:val="22"/>
          <w:rtl/>
        </w:rPr>
        <w:t xml:space="preserve">  ، و كيف يجب على الباحث في تاريخ الأدب أن يعيد طرح الأسئلة التي جاء العمل الأدبي ليجيب عليها ، ثمّ  ما يرتبط  بأثر العمل الأدبي في معاصريه ، ثمّ علاقة هذا العمل بالأعمال الأدبية  المزامنة له ، و كيف يجب النظر إليه في ظلّ ما يُعرف عن بيئته  و جنسه الذي ينتمي إليه ، يقول طه حسين في مواضع متفرّقة من مقاله هذا : ((  و أمر التاريخ الأدبي الآن كأمر هذه الفنون البيانية ، لم يتكلّف الباحث درس حياة امرئ القيس و قراءة ديوانه و الجدّ في فهمه ، و هو يعلم أنّ اسمه </w:t>
      </w:r>
      <w:proofErr w:type="spellStart"/>
      <w:r>
        <w:rPr>
          <w:rFonts w:hint="cs"/>
          <w:sz w:val="22"/>
          <w:szCs w:val="22"/>
          <w:rtl/>
        </w:rPr>
        <w:t>حندج</w:t>
      </w:r>
      <w:proofErr w:type="spellEnd"/>
      <w:r>
        <w:rPr>
          <w:rFonts w:hint="cs"/>
          <w:sz w:val="22"/>
          <w:szCs w:val="22"/>
          <w:rtl/>
        </w:rPr>
        <w:t xml:space="preserve"> بن حجر ، و أنّ أباه كان ملكا قتله بنو أسد ، و أنّه ذهب إلى قسطنطينية ، و أنّه صاحب ( قفا نبكِ ) و ( ألا عِم صباحا أيّها الطلل البالي ) . و لكن ما </w:t>
      </w:r>
      <w:proofErr w:type="gramStart"/>
      <w:r>
        <w:rPr>
          <w:rFonts w:hint="cs"/>
          <w:sz w:val="22"/>
          <w:szCs w:val="22"/>
          <w:rtl/>
        </w:rPr>
        <w:t>( قفا</w:t>
      </w:r>
      <w:proofErr w:type="gramEnd"/>
      <w:r>
        <w:rPr>
          <w:rFonts w:hint="cs"/>
          <w:sz w:val="22"/>
          <w:szCs w:val="22"/>
          <w:rtl/>
        </w:rPr>
        <w:t xml:space="preserve"> نبكِ ) هذه ؟ و ما </w:t>
      </w:r>
      <w:proofErr w:type="gramStart"/>
      <w:r>
        <w:rPr>
          <w:rFonts w:hint="cs"/>
          <w:sz w:val="22"/>
          <w:szCs w:val="22"/>
          <w:rtl/>
        </w:rPr>
        <w:t>( ألا</w:t>
      </w:r>
      <w:proofErr w:type="gramEnd"/>
      <w:r>
        <w:rPr>
          <w:rFonts w:hint="cs"/>
          <w:sz w:val="22"/>
          <w:szCs w:val="22"/>
          <w:rtl/>
        </w:rPr>
        <w:t xml:space="preserve"> عِم صباحا ) ؟ ما </w:t>
      </w:r>
      <w:proofErr w:type="gramStart"/>
      <w:r>
        <w:rPr>
          <w:rFonts w:hint="cs"/>
          <w:sz w:val="22"/>
          <w:szCs w:val="22"/>
          <w:rtl/>
        </w:rPr>
        <w:t>موضوعهما ؟</w:t>
      </w:r>
      <w:proofErr w:type="gramEnd"/>
      <w:r>
        <w:rPr>
          <w:rFonts w:hint="cs"/>
          <w:sz w:val="22"/>
          <w:szCs w:val="22"/>
          <w:rtl/>
        </w:rPr>
        <w:t xml:space="preserve"> ما </w:t>
      </w:r>
      <w:proofErr w:type="gramStart"/>
      <w:r>
        <w:rPr>
          <w:rFonts w:hint="cs"/>
          <w:sz w:val="22"/>
          <w:szCs w:val="22"/>
          <w:rtl/>
        </w:rPr>
        <w:t>أسلوبهما ؟</w:t>
      </w:r>
      <w:proofErr w:type="gramEnd"/>
      <w:r>
        <w:rPr>
          <w:rFonts w:hint="cs"/>
          <w:sz w:val="22"/>
          <w:szCs w:val="22"/>
          <w:rtl/>
        </w:rPr>
        <w:t xml:space="preserve"> ما قيمتهما </w:t>
      </w:r>
      <w:proofErr w:type="gramStart"/>
      <w:r>
        <w:rPr>
          <w:rFonts w:hint="cs"/>
          <w:sz w:val="22"/>
          <w:szCs w:val="22"/>
          <w:rtl/>
        </w:rPr>
        <w:t>الفنّية ؟</w:t>
      </w:r>
      <w:proofErr w:type="gramEnd"/>
      <w:r>
        <w:rPr>
          <w:rFonts w:hint="cs"/>
          <w:sz w:val="22"/>
          <w:szCs w:val="22"/>
          <w:rtl/>
        </w:rPr>
        <w:t xml:space="preserve"> ما مكانتهما من الشّعر المعاصر </w:t>
      </w:r>
      <w:proofErr w:type="gramStart"/>
      <w:r>
        <w:rPr>
          <w:rFonts w:hint="cs"/>
          <w:sz w:val="22"/>
          <w:szCs w:val="22"/>
          <w:rtl/>
        </w:rPr>
        <w:t>لهما ؟</w:t>
      </w:r>
      <w:proofErr w:type="gramEnd"/>
      <w:r>
        <w:rPr>
          <w:rFonts w:hint="cs"/>
          <w:sz w:val="22"/>
          <w:szCs w:val="22"/>
          <w:rtl/>
        </w:rPr>
        <w:t xml:space="preserve"> ما مكانتهما من الشّعر الذي جاء </w:t>
      </w:r>
      <w:proofErr w:type="gramStart"/>
      <w:r>
        <w:rPr>
          <w:rFonts w:hint="cs"/>
          <w:sz w:val="22"/>
          <w:szCs w:val="22"/>
          <w:rtl/>
        </w:rPr>
        <w:t>بعدهما ؟</w:t>
      </w:r>
      <w:proofErr w:type="gramEnd"/>
      <w:r>
        <w:rPr>
          <w:rFonts w:hint="cs"/>
          <w:sz w:val="22"/>
          <w:szCs w:val="22"/>
          <w:rtl/>
        </w:rPr>
        <w:t xml:space="preserve"> ما الصّلة التي بينهما و بين نفس </w:t>
      </w:r>
      <w:proofErr w:type="gramStart"/>
      <w:r>
        <w:rPr>
          <w:rFonts w:hint="cs"/>
          <w:sz w:val="22"/>
          <w:szCs w:val="22"/>
          <w:rtl/>
        </w:rPr>
        <w:t>الشاعر ؟</w:t>
      </w:r>
      <w:proofErr w:type="gramEnd"/>
      <w:r>
        <w:rPr>
          <w:rFonts w:hint="cs"/>
          <w:sz w:val="22"/>
          <w:szCs w:val="22"/>
          <w:rtl/>
        </w:rPr>
        <w:t xml:space="preserve"> ما الصلة بينهما و بين نفوس النّاس الذين قيلتا </w:t>
      </w:r>
      <w:proofErr w:type="gramStart"/>
      <w:r>
        <w:rPr>
          <w:rFonts w:hint="cs"/>
          <w:sz w:val="22"/>
          <w:szCs w:val="22"/>
          <w:rtl/>
        </w:rPr>
        <w:t>بينهم ؟</w:t>
      </w:r>
      <w:proofErr w:type="gramEnd"/>
      <w:r>
        <w:rPr>
          <w:rFonts w:hint="cs"/>
          <w:sz w:val="22"/>
          <w:szCs w:val="22"/>
          <w:rtl/>
        </w:rPr>
        <w:t xml:space="preserve"> ))  ص </w:t>
      </w:r>
      <w:proofErr w:type="gramStart"/>
      <w:r>
        <w:rPr>
          <w:rFonts w:hint="cs"/>
          <w:sz w:val="22"/>
          <w:szCs w:val="22"/>
          <w:rtl/>
        </w:rPr>
        <w:t>41 .</w:t>
      </w:r>
      <w:proofErr w:type="gramEnd"/>
      <w:r>
        <w:rPr>
          <w:rFonts w:hint="cs"/>
          <w:sz w:val="22"/>
          <w:szCs w:val="22"/>
          <w:rtl/>
        </w:rPr>
        <w:t xml:space="preserve"> ثمّ يقول في موضع </w:t>
      </w:r>
      <w:proofErr w:type="gramStart"/>
      <w:r>
        <w:rPr>
          <w:rFonts w:hint="cs"/>
          <w:sz w:val="22"/>
          <w:szCs w:val="22"/>
          <w:rtl/>
        </w:rPr>
        <w:t>آخر :</w:t>
      </w:r>
      <w:proofErr w:type="gramEnd"/>
      <w:r>
        <w:rPr>
          <w:rFonts w:hint="cs"/>
          <w:sz w:val="22"/>
          <w:szCs w:val="22"/>
          <w:rtl/>
        </w:rPr>
        <w:t xml:space="preserve"> ((  و ربّما يفرغ رجل آخر للبحث عن شخصية كاتب أو شاعر أو عالم ، فيسلك إلى ذلك سبلا مختلفة ، يلتمس شاعره أو كاتبه أو عالمه فيما ترك من الآثار ، و يلتمسه في آثار غيره من المعاصرين له ، و يلتمسه في آثار غيره من الذين جاءوا بعده ، بل يلتمسه أحيانا في آثار مزاجه و طبعه ، ثمّ يجتهد في تحقيق الصّلة بينه و بين عصره و بيئته و جنسه ))  ص </w:t>
      </w:r>
      <w:proofErr w:type="spellStart"/>
      <w:r>
        <w:rPr>
          <w:rFonts w:hint="cs"/>
          <w:sz w:val="22"/>
          <w:szCs w:val="22"/>
          <w:rtl/>
        </w:rPr>
        <w:t>ص</w:t>
      </w:r>
      <w:proofErr w:type="spellEnd"/>
      <w:r>
        <w:rPr>
          <w:rFonts w:hint="cs"/>
          <w:sz w:val="22"/>
          <w:szCs w:val="22"/>
          <w:rtl/>
        </w:rPr>
        <w:t xml:space="preserve"> 51 . </w:t>
      </w:r>
      <w:proofErr w:type="gramStart"/>
      <w:r>
        <w:rPr>
          <w:rFonts w:hint="cs"/>
          <w:sz w:val="22"/>
          <w:szCs w:val="22"/>
          <w:rtl/>
        </w:rPr>
        <w:t>52 .</w:t>
      </w:r>
      <w:proofErr w:type="gramEnd"/>
      <w:r>
        <w:rPr>
          <w:rFonts w:hint="cs"/>
          <w:sz w:val="22"/>
          <w:szCs w:val="22"/>
          <w:rtl/>
        </w:rPr>
        <w:t xml:space="preserve">   و يقول أيضا حول فكرة اندماج أفق الباحث </w:t>
      </w:r>
      <w:proofErr w:type="gramStart"/>
      <w:r>
        <w:rPr>
          <w:rFonts w:hint="cs"/>
          <w:sz w:val="22"/>
          <w:szCs w:val="22"/>
          <w:rtl/>
        </w:rPr>
        <w:t>( المؤّرخ</w:t>
      </w:r>
      <w:proofErr w:type="gramEnd"/>
      <w:r>
        <w:rPr>
          <w:rFonts w:hint="cs"/>
          <w:sz w:val="22"/>
          <w:szCs w:val="22"/>
          <w:rtl/>
        </w:rPr>
        <w:t xml:space="preserve"> الأدبي ) مع أفق النصوص الأدبية الماضية : (( لا سبيل إذن إلى أن يبرأ مؤرّخ الأدب من شخصيته و ذوقه ، و هذا نفسه كافٍ في أن يحول بين تاريخ الأدب و بين أن يكون علما )) ص 47 . من </w:t>
      </w:r>
      <w:proofErr w:type="gramStart"/>
      <w:r>
        <w:rPr>
          <w:rFonts w:hint="cs"/>
          <w:sz w:val="22"/>
          <w:szCs w:val="22"/>
          <w:rtl/>
        </w:rPr>
        <w:t>كتاب ،</w:t>
      </w:r>
      <w:proofErr w:type="gramEnd"/>
      <w:r>
        <w:rPr>
          <w:rFonts w:hint="cs"/>
          <w:sz w:val="22"/>
          <w:szCs w:val="22"/>
          <w:rtl/>
        </w:rPr>
        <w:t xml:space="preserve"> طه حسين : في الأدب الجاهلي ، ط 16 ، دار المعارف ، القاهرة ، 1989 .</w:t>
      </w:r>
    </w:p>
  </w:footnote>
  <w:footnote w:id="4">
    <w:p w14:paraId="64CA35AF" w14:textId="77777777" w:rsidR="00445E66" w:rsidRDefault="00445E66" w:rsidP="00445E66">
      <w:pPr>
        <w:pStyle w:val="Notedebasdepage"/>
        <w:rPr>
          <w:sz w:val="22"/>
          <w:szCs w:val="22"/>
          <w:rtl/>
        </w:rPr>
      </w:pPr>
      <w:r>
        <w:rPr>
          <w:rStyle w:val="Appelnotedebasdep"/>
        </w:rPr>
        <w:t>( 149 )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-  نظرية </w:t>
      </w:r>
      <w:proofErr w:type="gramStart"/>
      <w:r>
        <w:rPr>
          <w:rFonts w:hint="cs"/>
          <w:sz w:val="22"/>
          <w:szCs w:val="22"/>
          <w:rtl/>
        </w:rPr>
        <w:t>التلقي ،</w:t>
      </w:r>
      <w:proofErr w:type="gramEnd"/>
      <w:r>
        <w:rPr>
          <w:rFonts w:hint="cs"/>
          <w:sz w:val="22"/>
          <w:szCs w:val="22"/>
          <w:rtl/>
        </w:rPr>
        <w:t xml:space="preserve"> ص 155  .</w:t>
      </w:r>
    </w:p>
  </w:footnote>
  <w:footnote w:id="5">
    <w:p w14:paraId="3C7A6652" w14:textId="77777777" w:rsidR="00445E66" w:rsidRDefault="00445E66" w:rsidP="00445E66">
      <w:pPr>
        <w:pStyle w:val="Notedebasdepage"/>
        <w:spacing w:before="120"/>
        <w:jc w:val="lowKashida"/>
        <w:rPr>
          <w:sz w:val="22"/>
          <w:szCs w:val="22"/>
          <w:rtl/>
        </w:rPr>
      </w:pPr>
      <w:r>
        <w:rPr>
          <w:rStyle w:val="Appelnotedebasdep"/>
        </w:rPr>
        <w:t>( 150 )</w:t>
      </w:r>
      <w:r>
        <w:rPr>
          <w:rFonts w:hint="cs"/>
          <w:sz w:val="24"/>
          <w:szCs w:val="24"/>
          <w:rtl/>
        </w:rPr>
        <w:t xml:space="preserve"> - </w:t>
      </w:r>
      <w:r>
        <w:rPr>
          <w:rFonts w:hint="cs"/>
          <w:sz w:val="22"/>
          <w:szCs w:val="22"/>
          <w:rtl/>
        </w:rPr>
        <w:t xml:space="preserve">عبد الله </w:t>
      </w:r>
      <w:proofErr w:type="spellStart"/>
      <w:proofErr w:type="gramStart"/>
      <w:r>
        <w:rPr>
          <w:rFonts w:hint="cs"/>
          <w:sz w:val="22"/>
          <w:szCs w:val="22"/>
          <w:rtl/>
        </w:rPr>
        <w:t>الغذامي</w:t>
      </w:r>
      <w:proofErr w:type="spellEnd"/>
      <w:r>
        <w:rPr>
          <w:rFonts w:hint="cs"/>
          <w:sz w:val="22"/>
          <w:szCs w:val="22"/>
          <w:rtl/>
        </w:rPr>
        <w:t xml:space="preserve"> :</w:t>
      </w:r>
      <w:proofErr w:type="gramEnd"/>
      <w:r>
        <w:rPr>
          <w:rFonts w:hint="cs"/>
          <w:sz w:val="22"/>
          <w:szCs w:val="22"/>
          <w:rtl/>
        </w:rPr>
        <w:t xml:space="preserve"> النقد الثقافي ( قراءة في الأنساق الثقافية العربية ) ، ط 1 ، المركز الثقافي العربي ، بيروت ،   2000 ، ص 167 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46"/>
    <w:rsid w:val="00262246"/>
    <w:rsid w:val="00445E66"/>
    <w:rsid w:val="005D25CA"/>
    <w:rsid w:val="007F4084"/>
    <w:rsid w:val="009D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7639AA4"/>
  <w15:chartTrackingRefBased/>
  <w15:docId w15:val="{C3CB0CF3-9054-423B-BC19-859549FF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E66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445E6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445E6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ppelnotedebasdep">
    <w:name w:val="footnote reference"/>
    <w:basedOn w:val="Policepardfaut"/>
    <w:semiHidden/>
    <w:rsid w:val="00445E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kheiro daiche</dc:creator>
  <cp:keywords/>
  <dc:description/>
  <cp:lastModifiedBy>kheiro daiche</cp:lastModifiedBy>
  <cp:revision>6</cp:revision>
  <dcterms:created xsi:type="dcterms:W3CDTF">2023-01-09T14:38:00Z</dcterms:created>
  <dcterms:modified xsi:type="dcterms:W3CDTF">2023-01-09T14:42:00Z</dcterms:modified>
</cp:coreProperties>
</file>