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52D5" w14:textId="77777777" w:rsidR="00733285" w:rsidRPr="00733285" w:rsidRDefault="00733285" w:rsidP="00733285">
      <w:pPr>
        <w:bidi/>
        <w:spacing w:before="120" w:after="240" w:line="240" w:lineRule="auto"/>
        <w:jc w:val="lowKashida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val="en-US" w:eastAsia="ar-SA"/>
        </w:rPr>
      </w:pPr>
      <w:r w:rsidRPr="00733285"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val="en-US" w:eastAsia="ar-SA"/>
        </w:rPr>
        <w:t xml:space="preserve">   </w:t>
      </w:r>
      <w:r w:rsidRPr="00733285"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val="en-US" w:eastAsia="ar-SA"/>
        </w:rPr>
        <w:t xml:space="preserve">المحاضرة </w:t>
      </w:r>
      <w:proofErr w:type="gramStart"/>
      <w:r w:rsidRPr="00733285"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val="en-US" w:eastAsia="ar-SA"/>
        </w:rPr>
        <w:t>6 :</w:t>
      </w:r>
      <w:proofErr w:type="gramEnd"/>
      <w:r w:rsidRPr="00733285"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val="en-US" w:eastAsia="ar-SA"/>
        </w:rPr>
        <w:t xml:space="preserve"> الوظيفة الاجتماعية للأدب :</w:t>
      </w:r>
    </w:p>
    <w:p w14:paraId="2CEC1E4B" w14:textId="154FB6DE" w:rsidR="00733285" w:rsidRPr="00CB54F0" w:rsidRDefault="00733285" w:rsidP="00733285">
      <w:pPr>
        <w:bidi/>
        <w:spacing w:before="120" w:after="24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en-US" w:eastAsia="ar-SA"/>
        </w:rPr>
      </w:pPr>
      <w:r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   </w:t>
      </w: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لقد حاول </w:t>
      </w:r>
      <w:proofErr w:type="spell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ياوس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في بداية طرحه لفكرة الوظيفة الاجتماعية للأدب أن ينتقد نظرية الانعكاس التي رادها جورج </w:t>
      </w:r>
      <w:proofErr w:type="spell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لوكاتش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</w:t>
      </w:r>
      <w:r w:rsidRPr="00CB54F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Lukacs</w:t>
      </w: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، و التي قدمّت مفهومها للعمل الأدبي على أنّه مرآة عاكسة لوقائع المجتمع و أحداثه ، و أبقت بذلك هذا العمل داخل حلقة مغلقة لجمالية الإنتاج و التمثّّل الأدبي ، حيث لا يمكن الحديث عن الوظيفة الاجتماعية المنوطة بهذا العمل ، كما لا يمكن الحديث عن تجربة القارئ الفاعلة في تحوير جملة من القيم و الأعراف و التقاليد السائدة في المجتمع ؛ إنّنا إزاء فلسفة للإنتاج و الخلق التماثلي الذي لا مجال معه للحديث عن فلسفة إعادة الإنتاج  و نقد المسلمات الاجتماعية و الثقافية بغية تحويرها و تعديلها .</w:t>
      </w:r>
    </w:p>
    <w:p w14:paraId="7952EC99" w14:textId="77777777" w:rsidR="00733285" w:rsidRPr="00CB54F0" w:rsidRDefault="00733285" w:rsidP="00733285">
      <w:pPr>
        <w:bidi/>
        <w:spacing w:before="120" w:after="24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en-US" w:eastAsia="ar-SA"/>
        </w:rPr>
      </w:pP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   إنّ جمالية التلقي التي أرسى قواعدها </w:t>
      </w:r>
      <w:proofErr w:type="spellStart"/>
      <w:proofErr w:type="gram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ياوس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،</w:t>
      </w:r>
      <w:proofErr w:type="gram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تحاول أن تجد إجابة لمسألة الوظيفة الاجتماعية للأدب ( الخلق الاجتماعي ) ، وهي تتجاوز بذلك كفاءة الجمالية التقليدية التي قالت بمفهوم الانعكاس و المحاكاة ، و </w:t>
      </w:r>
      <w:proofErr w:type="spell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ياوس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يطرح في ظلّ هذه الوجهة سؤالا : كيف يمكننا ، إذا سلمنا بنظرية الانعكاس ، أن نعيّن حقّا أفق التجربة للممارسة </w:t>
      </w:r>
      <w:proofErr w:type="spell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المعاشة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؟ و كيف ستكون وضعية هذا الأفق بالنسبة إلى أفق التجربة الجمالية </w:t>
      </w:r>
      <w:proofErr w:type="gram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للقارئ ؟</w:t>
      </w:r>
      <w:proofErr w:type="gram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</w:t>
      </w:r>
      <w:proofErr w:type="gramStart"/>
      <w:r w:rsidRPr="00CB54F0">
        <w:rPr>
          <w:rFonts w:ascii="Times New Roman" w:eastAsia="Times New Roman" w:hAnsi="Times New Roman" w:cs="Simplified Arabic"/>
          <w:sz w:val="28"/>
          <w:szCs w:val="28"/>
          <w:vertAlign w:val="superscript"/>
          <w:rtl/>
          <w:lang w:val="en-US" w:eastAsia="ar-SA"/>
        </w:rPr>
        <w:footnoteReference w:customMarkFollows="1" w:id="1"/>
        <w:t>( 141</w:t>
      </w:r>
      <w:proofErr w:type="gramEnd"/>
      <w:r w:rsidRPr="00CB54F0">
        <w:rPr>
          <w:rFonts w:ascii="Times New Roman" w:eastAsia="Times New Roman" w:hAnsi="Times New Roman" w:cs="Simplified Arabic"/>
          <w:sz w:val="28"/>
          <w:szCs w:val="28"/>
          <w:vertAlign w:val="superscript"/>
          <w:rtl/>
          <w:lang w:val="en-US" w:eastAsia="ar-SA"/>
        </w:rPr>
        <w:t xml:space="preserve"> )</w:t>
      </w: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. و لعلّ الإجابة يعرضها صاحب السؤال ممّا أفاد منه من نظرية كارل بوبر </w:t>
      </w:r>
      <w:r w:rsidRPr="00CB54F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Popper</w:t>
      </w:r>
      <w:r w:rsidRPr="00CB54F0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ar-SA"/>
        </w:rPr>
        <w:t xml:space="preserve"> </w:t>
      </w: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في فلسفة المعرفة و العلم ، حين ناقش هذا الأخير أفكاره حول الملاحظة و الفرضية في تطوّر التجربة العلمية ، و كيف أنّ هذا التطوّر مقرون بمفهوم أفق   التوقع ، كما أنّ تجربة الحياة اليومية ، بالإضافة إلى التجربة العلمية ، منوطة بإحبـاط التوقّع </w:t>
      </w:r>
      <w:r w:rsidRPr="00CB54F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La </w:t>
      </w:r>
      <w:proofErr w:type="spellStart"/>
      <w:r w:rsidRPr="00CB54F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déception</w:t>
      </w:r>
      <w:proofErr w:type="spellEnd"/>
      <w:r w:rsidRPr="00CB54F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de l'</w:t>
      </w:r>
      <w:r w:rsidRPr="00CB54F0">
        <w:rPr>
          <w:rFonts w:ascii="Times New Roman" w:eastAsia="Times New Roman" w:hAnsi="Times New Roman" w:cs="Times New Roman"/>
          <w:sz w:val="28"/>
          <w:szCs w:val="28"/>
          <w:lang w:eastAsia="ar-SA"/>
        </w:rPr>
        <w:t>a</w:t>
      </w:r>
      <w:proofErr w:type="spellStart"/>
      <w:r w:rsidRPr="00CB54F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ttente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، و إنّنا نكون في علاقة مع واقعنا إذا ما حصل خطأ في فروضنا     و توقعـاتنا : (( إنّنا بمعـاينة فرضياتنا التي كـانت خاطئة يمكننا أن ندخل في اتّصـال مع الواقع )) </w:t>
      </w:r>
      <w:r w:rsidRPr="00CB54F0">
        <w:rPr>
          <w:rFonts w:ascii="Times New Roman" w:eastAsia="Times New Roman" w:hAnsi="Times New Roman" w:cs="Simplified Arabic"/>
          <w:sz w:val="28"/>
          <w:szCs w:val="28"/>
          <w:vertAlign w:val="superscript"/>
          <w:rtl/>
          <w:lang w:val="en-US" w:eastAsia="ar-SA"/>
        </w:rPr>
        <w:footnoteReference w:customMarkFollows="1" w:id="2"/>
        <w:t>( 142 )</w:t>
      </w: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. إنّ هذا النمط من التحليل و التفسير عند بوبر لم يقدّم توضيحا كاملا عن كيفية تكوّن النظرية العلمية ، و لكنّه يسمح بصورة ما توضيح الوظيفة المتميّزة للأدب داخل الحياة الاجتماعية ، ذلك أنّ تجربة القراءة تحرّر القارئ من إلزامية التوافق الاجتماعي ، و من الأحكام المسبقة ، و من أعباء حياته الواقعية ، و تدفعه إلى تجديد نظرته إلى الأشياء عبر أفق التوقّع الأدبـي الذي له ميزة أنّه لا يستند علـى ما مرّ من تجارب قرائية فقط ، في إعادة تحوير و تعديل النظرة إلى العالم ، و لكنّه يمتلك القدرة على السبق ، أي سبق الإمكانات التي لم تتحقّق بعدُ و لم تدخل مجال الواقع </w:t>
      </w:r>
      <w:r w:rsidRPr="00CB54F0">
        <w:rPr>
          <w:rFonts w:ascii="Times New Roman" w:eastAsia="Times New Roman" w:hAnsi="Times New Roman" w:cs="Simplified Arabic"/>
          <w:sz w:val="28"/>
          <w:szCs w:val="28"/>
          <w:vertAlign w:val="superscript"/>
          <w:rtl/>
          <w:lang w:val="en-US" w:eastAsia="ar-SA"/>
        </w:rPr>
        <w:footnoteReference w:customMarkFollows="1" w:id="3"/>
        <w:t>( 143 )</w:t>
      </w: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.</w:t>
      </w:r>
    </w:p>
    <w:p w14:paraId="7D4BA31D" w14:textId="77777777" w:rsidR="00733285" w:rsidRPr="00CB54F0" w:rsidRDefault="00733285" w:rsidP="00733285">
      <w:pPr>
        <w:bidi/>
        <w:spacing w:before="120" w:after="24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en-US" w:eastAsia="ar-SA"/>
        </w:rPr>
      </w:pP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lastRenderedPageBreak/>
        <w:t xml:space="preserve">    لا يمكننا إذن ، عزل عالم العمل الأدبي الداخلي عن العالم الخارجي للحياة الاجتماعية و الحياة الواقعية ، و أنّ العمل الأدبي لم ينشأ من فراغ و لا في صحراء من السياقات و الدلالات الاجتماعية و الثقافية المعقّدة و المتنوّعة ، كما أنّنا ، بالمقابل ، لا نتلقى هذا العمل ضمن خبرة قرائية محضة ، بل تتضمن هذه الخبرة أفقنا الاجتماعي و نظرتنا إلى الأشياء التي يمكن أن يعدّلها أو يحوّرها هذا العمل الجديد ، و هنا بالذات ، تتكوّن نقطة التقاء الأفقين : الأفق الأدبي و الأفق الاجتماعي : (( إنّنا نتلقى العمل الأدبي الجديد ليس فقط بأحكام الخلفية التي نمتلكها عن الأشكال الفنّية الأخرى ، و لكن بخلفية تجربة الحياة الواقعية )) </w:t>
      </w:r>
      <w:r w:rsidRPr="00CB54F0">
        <w:rPr>
          <w:rFonts w:ascii="Times New Roman" w:eastAsia="Times New Roman" w:hAnsi="Times New Roman" w:cs="Simplified Arabic"/>
          <w:sz w:val="28"/>
          <w:szCs w:val="28"/>
          <w:vertAlign w:val="superscript"/>
          <w:rtl/>
          <w:lang w:val="en-US" w:eastAsia="ar-SA"/>
        </w:rPr>
        <w:footnoteReference w:customMarkFollows="1" w:id="4"/>
        <w:t>( 144 )</w:t>
      </w: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، لأنّ الأدب في جوهره يمتلك القدرة على تخطّي المنظور الفنّي و البلاغي الخالص ، وصولا إلى الجهاز </w:t>
      </w:r>
      <w:proofErr w:type="spell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السياقي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الذي يحوزه القارئ أثناء لقائه مع النصّ ، و بالمقابل ، فإنّ القارئ بدوره له كفـاءته في النظر إلى العالم و إلى حياته الواقعية من خلال العمل الذي يتلقاه و يحاوره .</w:t>
      </w:r>
    </w:p>
    <w:p w14:paraId="59BD815A" w14:textId="77777777" w:rsidR="00733285" w:rsidRPr="00CB54F0" w:rsidRDefault="00733285" w:rsidP="00733285">
      <w:pPr>
        <w:bidi/>
        <w:spacing w:before="120" w:after="24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en-US" w:eastAsia="ar-SA"/>
        </w:rPr>
      </w:pP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   إنّ الأدب في قدرته </w:t>
      </w:r>
      <w:proofErr w:type="gram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الإبداعية ،</w:t>
      </w:r>
      <w:proofErr w:type="gram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يمكنه أن يعيد توجيه تجاربنا ، و لكن ليس فقط عن طريق أشكاله الجديدة التي تكسر آلية المنظور الواقعي ، و بالتالي يُنظر إلى الشكل الجديد في علاقته مع الأشكال الفنّية الأخرى ، بل إنّ تجربة القارئ يمكنها أن تتلقى العمل من خلفية تجربته الواقعية    و حياته اليومية ، دون أم يعوّل بصفة كبرى على التباين بين الشكل الجديد و الشكل القديم الذي فقد مبررات وجوده الفنّية .</w:t>
      </w:r>
    </w:p>
    <w:p w14:paraId="5618303D" w14:textId="77777777" w:rsidR="00733285" w:rsidRPr="00CB54F0" w:rsidRDefault="00733285" w:rsidP="00733285">
      <w:pPr>
        <w:bidi/>
        <w:spacing w:before="120" w:after="24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  <w:lang w:val="en-US" w:eastAsia="ar-SA"/>
        </w:rPr>
      </w:pP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   إنّنا بحاجة ، وفق منظور </w:t>
      </w:r>
      <w:proofErr w:type="spell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ياوس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، إلى أن نميّز بين أفق التوقّع الأدبي المتَضَمَن من طرف العمل الجديد ، و أفق التوقّع الاجتماعي </w:t>
      </w:r>
      <w:r w:rsidRPr="00CB54F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Social</w:t>
      </w:r>
      <w:r w:rsidRPr="00CB54F0">
        <w:rPr>
          <w:rFonts w:ascii="Arb Times New Roman" w:eastAsia="Times New Roman" w:hAnsi="Arb Times New Roman" w:cs="Simplified Arabic" w:hint="cs"/>
          <w:sz w:val="28"/>
          <w:szCs w:val="28"/>
          <w:rtl/>
          <w:lang w:val="en-US" w:eastAsia="ar-SA"/>
        </w:rPr>
        <w:t xml:space="preserve"> </w:t>
      </w: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:  (( يقترح </w:t>
      </w:r>
      <w:proofErr w:type="spell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ياوس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إقامة التمييز بين نمطين من أفق التوقّع : أفـق التوقّع الأدبـي أو ( </w:t>
      </w:r>
      <w:r w:rsidRPr="00CB54F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intra-</w:t>
      </w:r>
      <w:proofErr w:type="spellStart"/>
      <w:r w:rsidRPr="00CB54F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littéraire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) ... و أفق التوقّع الاجتماعي          أو ( </w:t>
      </w:r>
      <w:r w:rsidRPr="00CB54F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extra-</w:t>
      </w:r>
      <w:proofErr w:type="spellStart"/>
      <w:r w:rsidRPr="00CB54F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littéraire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) ...)) </w:t>
      </w:r>
      <w:r w:rsidRPr="00CB54F0">
        <w:rPr>
          <w:rFonts w:ascii="Times New Roman" w:eastAsia="Times New Roman" w:hAnsi="Times New Roman" w:cs="Simplified Arabic"/>
          <w:sz w:val="28"/>
          <w:szCs w:val="28"/>
          <w:vertAlign w:val="superscript"/>
          <w:rtl/>
          <w:lang w:val="en-US" w:eastAsia="ar-SA"/>
        </w:rPr>
        <w:footnoteReference w:customMarkFollows="1" w:id="5"/>
        <w:t>( 145 )</w:t>
      </w: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، لذلك يجب أن يأخذ تحليل التجربة الجمالية للقارئ          أو مجموعة من القراء ، في الحاضر أو في الماضي ، بعين الاعتبار العاملين المُكوّنَين لتحيين المعنى في العمل الأدبي ، و هما : الأثر الذي ينتجه العمل ، و التلقي الذي يجريه القارئ ،        و بالتالي كشف نوع العلاقة بينهما في ظلّ أفقيهما المندمجين . إنّ </w:t>
      </w:r>
      <w:proofErr w:type="spellStart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>إوالية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الاشتغال بين النصّ       و القارئ تقوم على خاصية الفهم </w:t>
      </w:r>
      <w:proofErr w:type="spellStart"/>
      <w:r w:rsidRPr="00CB54F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Compréhension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( فهم القارئ للعمل ) ، فالعمل يحاول دائما أن يوفّر لقارئه المناخ الأدبي و الاقتراحات التي يمكن أن توجّه عملية الفهم لديه ، حتّى يصل في النهاية إلى تشكيل أو إعادة تشكيل الأفق الأدبي </w:t>
      </w:r>
      <w:r w:rsidRPr="00CB54F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Horizon </w:t>
      </w:r>
      <w:proofErr w:type="spellStart"/>
      <w:r w:rsidRPr="00CB54F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littéraire</w:t>
      </w:r>
      <w:proofErr w:type="spellEnd"/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الخاص بالعمل ؛ لكنّ هذه الاستثارة التي يقوم بها العمل ليست قطبا متفرّدا في المعادلة ، حيث يمكن أن نسلّم فقط بخاصية إعادة إنتاج المعنى ، بل إنّ القطب الثاني للمعادلة ، يفتح إمكانية تفعيل استنطاق النصّ أو العمل من طرف القارئ أيضا ، حيث يمكن أن نسلّم أيضا </w:t>
      </w: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lastRenderedPageBreak/>
        <w:t xml:space="preserve">بخاصية إنتاج المعنى ، فالقارئ يستنطق النصّ في حدود استحضاره لفهمه المسبق </w:t>
      </w:r>
      <w:proofErr w:type="spellStart"/>
      <w:r w:rsidRPr="00CB54F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Précompréhension</w:t>
      </w:r>
      <w:proofErr w:type="spellEnd"/>
      <w:r w:rsidRPr="00CB54F0">
        <w:rPr>
          <w:rFonts w:ascii="Arb Times New Roman" w:eastAsia="Times New Roman" w:hAnsi="Arb Times New Roman" w:cs="Simplified Arabic" w:hint="cs"/>
          <w:sz w:val="28"/>
          <w:szCs w:val="28"/>
          <w:rtl/>
          <w:lang w:val="en-US" w:eastAsia="ar-SA"/>
        </w:rPr>
        <w:t xml:space="preserve"> </w:t>
      </w:r>
      <w:r w:rsidRPr="00CB54F0">
        <w:rPr>
          <w:rFonts w:ascii="Times New Roman" w:eastAsia="Times New Roman" w:hAnsi="Times New Roman" w:cs="Simplified Arabic"/>
          <w:sz w:val="28"/>
          <w:szCs w:val="28"/>
          <w:vertAlign w:val="superscript"/>
          <w:rtl/>
          <w:lang w:val="en-US" w:eastAsia="ar-SA"/>
        </w:rPr>
        <w:footnoteReference w:customMarkFollows="1" w:id="6"/>
        <w:t>(</w:t>
      </w:r>
      <w:r w:rsidRPr="00CB54F0">
        <w:rPr>
          <w:rFonts w:ascii="Times New Roman" w:eastAsia="Times New Roman" w:hAnsi="Times New Roman" w:cs="Simplified Arabic"/>
          <w:sz w:val="28"/>
          <w:szCs w:val="28"/>
          <w:vertAlign w:val="superscript"/>
          <w:rtl/>
          <w:lang w:val="en-US" w:eastAsia="ar-SA"/>
        </w:rPr>
        <w:sym w:font="Symbol" w:char="F02A"/>
      </w:r>
      <w:r w:rsidRPr="00CB54F0">
        <w:rPr>
          <w:rFonts w:ascii="Times New Roman" w:eastAsia="Times New Roman" w:hAnsi="Times New Roman" w:cs="Simplified Arabic"/>
          <w:sz w:val="28"/>
          <w:szCs w:val="28"/>
          <w:vertAlign w:val="superscript"/>
          <w:rtl/>
          <w:lang w:val="en-US" w:eastAsia="ar-SA"/>
        </w:rPr>
        <w:t>)</w:t>
      </w: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للعالم و لحياته الواقعية ، لكن في إطار المرجعيات الأدبية التي يعرضها النصّ نفسه </w:t>
      </w:r>
      <w:r w:rsidRPr="00CB54F0">
        <w:rPr>
          <w:rFonts w:ascii="Times New Roman" w:eastAsia="Times New Roman" w:hAnsi="Times New Roman" w:cs="Simplified Arabic"/>
          <w:sz w:val="28"/>
          <w:szCs w:val="28"/>
          <w:vertAlign w:val="superscript"/>
          <w:rtl/>
          <w:lang w:val="en-US" w:eastAsia="ar-SA"/>
        </w:rPr>
        <w:footnoteReference w:customMarkFollows="1" w:id="7"/>
        <w:t>( 146 )</w:t>
      </w:r>
      <w:r w:rsidRPr="00CB54F0">
        <w:rPr>
          <w:rFonts w:ascii="Times New Roman" w:eastAsia="Times New Roman" w:hAnsi="Times New Roman" w:cs="Simplified Arabic" w:hint="cs"/>
          <w:sz w:val="28"/>
          <w:szCs w:val="28"/>
          <w:rtl/>
          <w:lang w:val="en-US" w:eastAsia="ar-SA"/>
        </w:rPr>
        <w:t xml:space="preserve"> .</w:t>
      </w:r>
    </w:p>
    <w:p w14:paraId="347294C0" w14:textId="77777777" w:rsidR="005D25CA" w:rsidRDefault="005D25CA"/>
    <w:sectPr w:rsidR="005D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E5E9E" w14:textId="77777777" w:rsidR="008003A1" w:rsidRDefault="008003A1" w:rsidP="00733285">
      <w:pPr>
        <w:spacing w:after="0" w:line="240" w:lineRule="auto"/>
      </w:pPr>
      <w:r>
        <w:separator/>
      </w:r>
    </w:p>
  </w:endnote>
  <w:endnote w:type="continuationSeparator" w:id="0">
    <w:p w14:paraId="4B7BD604" w14:textId="77777777" w:rsidR="008003A1" w:rsidRDefault="008003A1" w:rsidP="0073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b Times New Roman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1B255" w14:textId="77777777" w:rsidR="008003A1" w:rsidRDefault="008003A1" w:rsidP="00733285">
      <w:pPr>
        <w:spacing w:after="0" w:line="240" w:lineRule="auto"/>
      </w:pPr>
      <w:r>
        <w:separator/>
      </w:r>
    </w:p>
  </w:footnote>
  <w:footnote w:type="continuationSeparator" w:id="0">
    <w:p w14:paraId="223D8273" w14:textId="77777777" w:rsidR="008003A1" w:rsidRDefault="008003A1" w:rsidP="00733285">
      <w:pPr>
        <w:spacing w:after="0" w:line="240" w:lineRule="auto"/>
      </w:pPr>
      <w:r>
        <w:continuationSeparator/>
      </w:r>
    </w:p>
  </w:footnote>
  <w:footnote w:id="1">
    <w:p w14:paraId="78FF6621" w14:textId="77777777" w:rsidR="00733285" w:rsidRDefault="00733285" w:rsidP="00733285">
      <w:pPr>
        <w:pStyle w:val="Notedebasdepage"/>
        <w:spacing w:before="120"/>
        <w:jc w:val="lowKashida"/>
        <w:rPr>
          <w:sz w:val="24"/>
          <w:szCs w:val="24"/>
          <w:lang w:val="fr-FR"/>
        </w:rPr>
      </w:pPr>
      <w:r>
        <w:rPr>
          <w:rStyle w:val="Appelnotedebasdep"/>
          <w:lang w:val="fr-FR"/>
        </w:rPr>
        <w:t>( 141 )</w:t>
      </w:r>
      <w:r>
        <w:rPr>
          <w:sz w:val="24"/>
          <w:szCs w:val="24"/>
          <w:lang w:val="fr-FR"/>
        </w:rPr>
        <w:t xml:space="preserve"> </w:t>
      </w:r>
      <w:r>
        <w:rPr>
          <w:rFonts w:hint="cs"/>
          <w:sz w:val="24"/>
          <w:szCs w:val="24"/>
          <w:rtl/>
          <w:lang w:val="fr-FR"/>
        </w:rPr>
        <w:t xml:space="preserve"> - </w:t>
      </w:r>
      <w:r>
        <w:rPr>
          <w:sz w:val="22"/>
          <w:szCs w:val="22"/>
          <w:lang w:val="fr-FR"/>
        </w:rPr>
        <w:t>IBID ; p 431</w:t>
      </w:r>
      <w:r>
        <w:rPr>
          <w:sz w:val="24"/>
          <w:szCs w:val="24"/>
          <w:lang w:val="fr-FR"/>
        </w:rPr>
        <w:t xml:space="preserve">.                                                                                                                    </w:t>
      </w:r>
    </w:p>
  </w:footnote>
  <w:footnote w:id="2">
    <w:p w14:paraId="78FDF53F" w14:textId="77777777" w:rsidR="00733285" w:rsidRDefault="00733285" w:rsidP="00733285">
      <w:pPr>
        <w:pStyle w:val="Notedebasdepage"/>
        <w:jc w:val="lowKashida"/>
        <w:rPr>
          <w:sz w:val="24"/>
          <w:szCs w:val="24"/>
          <w:lang w:val="fr-FR"/>
        </w:rPr>
      </w:pPr>
      <w:r>
        <w:rPr>
          <w:rStyle w:val="Appelnotedebasdep"/>
          <w:lang w:val="fr-FR"/>
        </w:rPr>
        <w:t>( 142 )</w:t>
      </w:r>
      <w:r>
        <w:rPr>
          <w:sz w:val="24"/>
          <w:szCs w:val="24"/>
          <w:lang w:val="fr-FR"/>
        </w:rPr>
        <w:t xml:space="preserve"> </w:t>
      </w:r>
      <w:r>
        <w:rPr>
          <w:rFonts w:hint="cs"/>
          <w:sz w:val="24"/>
          <w:szCs w:val="24"/>
          <w:rtl/>
          <w:lang w:val="fr-FR"/>
        </w:rPr>
        <w:t xml:space="preserve"> - </w:t>
      </w:r>
      <w:proofErr w:type="spellStart"/>
      <w:r>
        <w:rPr>
          <w:sz w:val="22"/>
          <w:szCs w:val="22"/>
          <w:lang w:val="fr-FR"/>
        </w:rPr>
        <w:t>Jauss</w:t>
      </w:r>
      <w:proofErr w:type="spellEnd"/>
      <w:r>
        <w:rPr>
          <w:sz w:val="22"/>
          <w:szCs w:val="22"/>
          <w:lang w:val="fr-FR"/>
        </w:rPr>
        <w:t xml:space="preserve"> ; Pour une </w:t>
      </w:r>
      <w:proofErr w:type="spellStart"/>
      <w:r>
        <w:rPr>
          <w:sz w:val="22"/>
          <w:szCs w:val="22"/>
          <w:lang w:val="fr-FR"/>
        </w:rPr>
        <w:t>ésthétique</w:t>
      </w:r>
      <w:proofErr w:type="spellEnd"/>
      <w:r>
        <w:rPr>
          <w:sz w:val="22"/>
          <w:szCs w:val="22"/>
          <w:lang w:val="fr-FR"/>
        </w:rPr>
        <w:t xml:space="preserve"> de la réception</w:t>
      </w:r>
      <w:proofErr w:type="gramStart"/>
      <w:r>
        <w:rPr>
          <w:sz w:val="22"/>
          <w:szCs w:val="22"/>
          <w:lang w:val="fr-FR"/>
        </w:rPr>
        <w:t xml:space="preserve"> ,</w:t>
      </w:r>
      <w:proofErr w:type="gramEnd"/>
      <w:r>
        <w:rPr>
          <w:sz w:val="22"/>
          <w:szCs w:val="22"/>
          <w:lang w:val="fr-FR"/>
        </w:rPr>
        <w:t xml:space="preserve"> p 74 .  </w:t>
      </w:r>
      <w:r>
        <w:rPr>
          <w:sz w:val="24"/>
          <w:szCs w:val="24"/>
          <w:lang w:val="fr-FR"/>
        </w:rPr>
        <w:t xml:space="preserve">                                                             </w:t>
      </w:r>
    </w:p>
  </w:footnote>
  <w:footnote w:id="3">
    <w:p w14:paraId="41B67C6E" w14:textId="77777777" w:rsidR="00733285" w:rsidRDefault="00733285" w:rsidP="00733285">
      <w:pPr>
        <w:pStyle w:val="Notedebasdepage"/>
        <w:jc w:val="lowKashida"/>
        <w:rPr>
          <w:sz w:val="24"/>
          <w:szCs w:val="24"/>
        </w:rPr>
      </w:pPr>
      <w:r>
        <w:rPr>
          <w:rStyle w:val="Appelnotedebasdep"/>
        </w:rPr>
        <w:t>( 143 )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- </w:t>
      </w:r>
      <w:proofErr w:type="gramStart"/>
      <w:r>
        <w:rPr>
          <w:rFonts w:hint="cs"/>
          <w:sz w:val="22"/>
          <w:szCs w:val="22"/>
          <w:rtl/>
        </w:rPr>
        <w:t xml:space="preserve">ينظر </w:t>
      </w:r>
      <w:r>
        <w:rPr>
          <w:rFonts w:hint="cs"/>
          <w:sz w:val="24"/>
          <w:szCs w:val="24"/>
          <w:rtl/>
        </w:rPr>
        <w:t>:</w:t>
      </w:r>
      <w:proofErr w:type="gramEnd"/>
      <w:r>
        <w:rPr>
          <w:rFonts w:hint="cs"/>
          <w:sz w:val="24"/>
          <w:szCs w:val="24"/>
          <w:rtl/>
        </w:rPr>
        <w:t xml:space="preserve"> </w:t>
      </w:r>
      <w:r>
        <w:rPr>
          <w:sz w:val="22"/>
          <w:szCs w:val="22"/>
        </w:rPr>
        <w:t xml:space="preserve">IBID ; p 75 </w:t>
      </w:r>
      <w:r>
        <w:rPr>
          <w:sz w:val="24"/>
          <w:szCs w:val="24"/>
        </w:rPr>
        <w:t xml:space="preserve">.                                                                                                                </w:t>
      </w:r>
    </w:p>
  </w:footnote>
  <w:footnote w:id="4">
    <w:p w14:paraId="10D05C42" w14:textId="77777777" w:rsidR="00733285" w:rsidRDefault="00733285" w:rsidP="00733285">
      <w:pPr>
        <w:pStyle w:val="Notedebasdepage"/>
        <w:spacing w:before="120"/>
        <w:jc w:val="lowKashida"/>
        <w:rPr>
          <w:sz w:val="24"/>
          <w:szCs w:val="24"/>
          <w:lang w:val="fr-FR"/>
        </w:rPr>
      </w:pPr>
      <w:r>
        <w:rPr>
          <w:rStyle w:val="Appelnotedebasdep"/>
          <w:lang w:val="fr-FR"/>
        </w:rPr>
        <w:t>( 144 )</w:t>
      </w:r>
      <w:r>
        <w:rPr>
          <w:sz w:val="24"/>
          <w:szCs w:val="24"/>
          <w:lang w:val="fr-FR"/>
        </w:rPr>
        <w:t xml:space="preserve"> </w:t>
      </w:r>
      <w:r>
        <w:rPr>
          <w:rFonts w:hint="cs"/>
          <w:sz w:val="24"/>
          <w:szCs w:val="24"/>
          <w:rtl/>
          <w:lang w:val="fr-FR"/>
        </w:rPr>
        <w:t xml:space="preserve">-  </w:t>
      </w:r>
      <w:r>
        <w:rPr>
          <w:sz w:val="22"/>
          <w:szCs w:val="22"/>
          <w:lang w:val="fr-FR"/>
        </w:rPr>
        <w:t xml:space="preserve">IBID ; P </w:t>
      </w:r>
      <w:proofErr w:type="gramStart"/>
      <w:r>
        <w:rPr>
          <w:sz w:val="22"/>
          <w:szCs w:val="22"/>
          <w:lang w:val="fr-FR"/>
        </w:rPr>
        <w:t>76</w:t>
      </w:r>
      <w:r>
        <w:rPr>
          <w:sz w:val="24"/>
          <w:szCs w:val="24"/>
          <w:lang w:val="fr-FR"/>
        </w:rPr>
        <w:t xml:space="preserve"> .</w:t>
      </w:r>
      <w:proofErr w:type="gramEnd"/>
      <w:r>
        <w:rPr>
          <w:sz w:val="24"/>
          <w:szCs w:val="24"/>
          <w:lang w:val="fr-FR"/>
        </w:rPr>
        <w:t xml:space="preserve">                                                                                                                     </w:t>
      </w:r>
    </w:p>
  </w:footnote>
  <w:footnote w:id="5">
    <w:p w14:paraId="247010B7" w14:textId="77777777" w:rsidR="00733285" w:rsidRDefault="00733285" w:rsidP="00733285">
      <w:pPr>
        <w:pStyle w:val="Notedebasdepage"/>
        <w:jc w:val="lowKashida"/>
        <w:rPr>
          <w:sz w:val="24"/>
          <w:szCs w:val="24"/>
          <w:lang w:val="fr-FR"/>
        </w:rPr>
      </w:pPr>
      <w:r>
        <w:rPr>
          <w:rStyle w:val="Appelnotedebasdep"/>
          <w:lang w:val="fr-FR"/>
        </w:rPr>
        <w:t>( 145 )</w:t>
      </w:r>
      <w:r>
        <w:rPr>
          <w:sz w:val="24"/>
          <w:szCs w:val="24"/>
          <w:lang w:val="fr-FR"/>
        </w:rPr>
        <w:t xml:space="preserve"> </w:t>
      </w:r>
      <w:r>
        <w:rPr>
          <w:rFonts w:hint="cs"/>
          <w:sz w:val="24"/>
          <w:szCs w:val="24"/>
          <w:rtl/>
          <w:lang w:val="fr-FR"/>
        </w:rPr>
        <w:t xml:space="preserve"> - </w:t>
      </w:r>
      <w:r>
        <w:rPr>
          <w:sz w:val="22"/>
          <w:szCs w:val="22"/>
          <w:lang w:val="fr-FR"/>
        </w:rPr>
        <w:t xml:space="preserve">Maria Olivier ; Horizon d' attente / </w:t>
      </w:r>
      <w:proofErr w:type="spellStart"/>
      <w:r>
        <w:rPr>
          <w:sz w:val="22"/>
          <w:szCs w:val="22"/>
          <w:lang w:val="fr-FR"/>
        </w:rPr>
        <w:t>Erwartungshorizont</w:t>
      </w:r>
      <w:proofErr w:type="spellEnd"/>
      <w:proofErr w:type="gramStart"/>
      <w:r>
        <w:rPr>
          <w:sz w:val="22"/>
          <w:szCs w:val="22"/>
          <w:lang w:val="fr-FR"/>
        </w:rPr>
        <w:t xml:space="preserve"> ,</w:t>
      </w:r>
      <w:proofErr w:type="gramEnd"/>
      <w:r>
        <w:rPr>
          <w:sz w:val="22"/>
          <w:szCs w:val="22"/>
          <w:lang w:val="fr-FR"/>
        </w:rPr>
        <w:t xml:space="preserve"> ( Mode article ) Dans ; Dictionnaire International Des Termes </w:t>
      </w:r>
      <w:proofErr w:type="spellStart"/>
      <w:r>
        <w:rPr>
          <w:sz w:val="22"/>
          <w:szCs w:val="22"/>
          <w:lang w:val="fr-FR"/>
        </w:rPr>
        <w:t>Litteraires</w:t>
      </w:r>
      <w:proofErr w:type="spellEnd"/>
      <w:r>
        <w:rPr>
          <w:sz w:val="22"/>
          <w:szCs w:val="22"/>
          <w:lang w:val="fr-FR"/>
        </w:rPr>
        <w:t xml:space="preserve"> , 2004 . </w:t>
      </w:r>
      <w:r>
        <w:rPr>
          <w:sz w:val="24"/>
          <w:szCs w:val="24"/>
          <w:lang w:val="fr-FR"/>
        </w:rPr>
        <w:t xml:space="preserve">                                                                               </w:t>
      </w:r>
    </w:p>
  </w:footnote>
  <w:footnote w:id="6">
    <w:p w14:paraId="7A3E13EB" w14:textId="77777777" w:rsidR="00733285" w:rsidRDefault="00733285" w:rsidP="00733285">
      <w:pPr>
        <w:pStyle w:val="Notedebasdepage"/>
        <w:spacing w:before="120"/>
        <w:jc w:val="lowKashida"/>
        <w:rPr>
          <w:sz w:val="22"/>
          <w:szCs w:val="22"/>
          <w:rtl/>
        </w:rPr>
      </w:pPr>
      <w:r>
        <w:rPr>
          <w:rStyle w:val="Appelnotedebasdep"/>
          <w:sz w:val="28"/>
          <w:szCs w:val="28"/>
        </w:rPr>
        <w:t>(</w:t>
      </w:r>
      <w:r>
        <w:rPr>
          <w:rStyle w:val="Appelnotedebasdep"/>
          <w:sz w:val="28"/>
          <w:szCs w:val="28"/>
        </w:rPr>
        <w:sym w:font="Symbol" w:char="F02A"/>
      </w:r>
      <w:r>
        <w:rPr>
          <w:rStyle w:val="Appelnotedebasdep"/>
          <w:sz w:val="28"/>
          <w:szCs w:val="28"/>
        </w:rPr>
        <w:t>)</w:t>
      </w:r>
      <w:r>
        <w:rPr>
          <w:rFonts w:hint="cs"/>
          <w:sz w:val="28"/>
          <w:szCs w:val="28"/>
          <w:rtl/>
        </w:rPr>
        <w:t xml:space="preserve"> - </w:t>
      </w:r>
      <w:r>
        <w:rPr>
          <w:rFonts w:hint="cs"/>
          <w:sz w:val="22"/>
          <w:szCs w:val="22"/>
          <w:rtl/>
        </w:rPr>
        <w:t xml:space="preserve">يمكن أن نشير إلى أنّ </w:t>
      </w:r>
      <w:proofErr w:type="spellStart"/>
      <w:r>
        <w:rPr>
          <w:rFonts w:hint="cs"/>
          <w:sz w:val="22"/>
          <w:szCs w:val="22"/>
          <w:rtl/>
        </w:rPr>
        <w:t>ياوس</w:t>
      </w:r>
      <w:proofErr w:type="spellEnd"/>
      <w:r>
        <w:rPr>
          <w:rFonts w:hint="cs"/>
          <w:sz w:val="22"/>
          <w:szCs w:val="22"/>
          <w:rtl/>
        </w:rPr>
        <w:t xml:space="preserve"> اقتبس مفهوم </w:t>
      </w:r>
      <w:proofErr w:type="gramStart"/>
      <w:r>
        <w:rPr>
          <w:rFonts w:hint="cs"/>
          <w:sz w:val="22"/>
          <w:szCs w:val="22"/>
          <w:rtl/>
        </w:rPr>
        <w:t>( الفهم</w:t>
      </w:r>
      <w:proofErr w:type="gramEnd"/>
      <w:r>
        <w:rPr>
          <w:rFonts w:hint="cs"/>
          <w:sz w:val="22"/>
          <w:szCs w:val="22"/>
          <w:rtl/>
        </w:rPr>
        <w:t xml:space="preserve"> المسبق ) من أراء </w:t>
      </w:r>
      <w:proofErr w:type="spellStart"/>
      <w:r>
        <w:rPr>
          <w:rFonts w:hint="cs"/>
          <w:sz w:val="22"/>
          <w:szCs w:val="22"/>
          <w:rtl/>
        </w:rPr>
        <w:t>هيدجر</w:t>
      </w:r>
      <w:proofErr w:type="spellEnd"/>
      <w:r>
        <w:rPr>
          <w:rFonts w:hint="cs"/>
          <w:sz w:val="22"/>
          <w:szCs w:val="22"/>
          <w:rtl/>
        </w:rPr>
        <w:t xml:space="preserve"> و </w:t>
      </w:r>
      <w:proofErr w:type="spellStart"/>
      <w:r>
        <w:rPr>
          <w:rFonts w:hint="cs"/>
          <w:sz w:val="22"/>
          <w:szCs w:val="22"/>
          <w:rtl/>
        </w:rPr>
        <w:t>غادمير</w:t>
      </w:r>
      <w:proofErr w:type="spellEnd"/>
      <w:r>
        <w:rPr>
          <w:rFonts w:hint="cs"/>
          <w:sz w:val="22"/>
          <w:szCs w:val="22"/>
          <w:rtl/>
        </w:rPr>
        <w:t xml:space="preserve"> ، في إطار ما ناقشاه حول العلاقة التي تربط الوعي بالموضوع ، و كيف أنّ الوعي ( الذات ) يتجه إلى موضوعه و هو يحمل معه جملة من التصوّرات و المفاهيم و الأحكام . لقد قدّم </w:t>
      </w:r>
      <w:proofErr w:type="spellStart"/>
      <w:r>
        <w:rPr>
          <w:rFonts w:hint="cs"/>
          <w:sz w:val="22"/>
          <w:szCs w:val="22"/>
          <w:rtl/>
        </w:rPr>
        <w:t>هيدجر</w:t>
      </w:r>
      <w:proofErr w:type="spellEnd"/>
      <w:r>
        <w:rPr>
          <w:rFonts w:hint="cs"/>
          <w:sz w:val="22"/>
          <w:szCs w:val="22"/>
          <w:rtl/>
        </w:rPr>
        <w:t xml:space="preserve"> هذا المفهوم أثناء طرحه لفكرة </w:t>
      </w:r>
      <w:proofErr w:type="gramStart"/>
      <w:r>
        <w:rPr>
          <w:rFonts w:hint="cs"/>
          <w:sz w:val="22"/>
          <w:szCs w:val="22"/>
          <w:rtl/>
        </w:rPr>
        <w:t>( الفهم</w:t>
      </w:r>
      <w:proofErr w:type="gramEnd"/>
      <w:r>
        <w:rPr>
          <w:rFonts w:hint="cs"/>
          <w:sz w:val="22"/>
          <w:szCs w:val="22"/>
          <w:rtl/>
        </w:rPr>
        <w:t xml:space="preserve"> الزائف ) و كيف أنّه يتميّز عن الفهم الحقيقي . أمّا </w:t>
      </w:r>
      <w:proofErr w:type="spellStart"/>
      <w:r>
        <w:rPr>
          <w:rFonts w:hint="cs"/>
          <w:sz w:val="22"/>
          <w:szCs w:val="22"/>
          <w:rtl/>
        </w:rPr>
        <w:t>غادمير</w:t>
      </w:r>
      <w:proofErr w:type="spellEnd"/>
      <w:r>
        <w:rPr>
          <w:rFonts w:hint="cs"/>
          <w:sz w:val="22"/>
          <w:szCs w:val="22"/>
          <w:rtl/>
        </w:rPr>
        <w:t xml:space="preserve"> فقد ناقش فكرة الفهم المسبق ضمن طرحه </w:t>
      </w:r>
      <w:proofErr w:type="gramStart"/>
      <w:r>
        <w:rPr>
          <w:rFonts w:hint="cs"/>
          <w:sz w:val="22"/>
          <w:szCs w:val="22"/>
          <w:rtl/>
        </w:rPr>
        <w:t>لفكرة :</w:t>
      </w:r>
      <w:proofErr w:type="gramEnd"/>
      <w:r>
        <w:rPr>
          <w:rFonts w:hint="cs"/>
          <w:sz w:val="22"/>
          <w:szCs w:val="22"/>
          <w:rtl/>
        </w:rPr>
        <w:t xml:space="preserve"> </w:t>
      </w:r>
      <w:proofErr w:type="spellStart"/>
      <w:r>
        <w:rPr>
          <w:rFonts w:hint="cs"/>
          <w:sz w:val="22"/>
          <w:szCs w:val="22"/>
          <w:rtl/>
        </w:rPr>
        <w:t>الترسيمة</w:t>
      </w:r>
      <w:proofErr w:type="spellEnd"/>
      <w:r>
        <w:rPr>
          <w:rFonts w:hint="cs"/>
          <w:sz w:val="22"/>
          <w:szCs w:val="22"/>
          <w:rtl/>
        </w:rPr>
        <w:t xml:space="preserve"> القبلية أو المخطّط ، التي يحدّدها الوعي و هو يتجه نحو الموضوع في محاولة للوصول إلى المعنى و تأويله  .</w:t>
      </w:r>
    </w:p>
  </w:footnote>
  <w:footnote w:id="7">
    <w:p w14:paraId="3A8F1D9A" w14:textId="77777777" w:rsidR="00733285" w:rsidRDefault="00733285" w:rsidP="00733285">
      <w:pPr>
        <w:pStyle w:val="Notedebasdepage"/>
        <w:jc w:val="lowKashida"/>
        <w:rPr>
          <w:sz w:val="24"/>
          <w:szCs w:val="24"/>
          <w:lang w:val="fr-FR"/>
        </w:rPr>
      </w:pPr>
      <w:r>
        <w:rPr>
          <w:rStyle w:val="Appelnotedebasdep"/>
        </w:rPr>
        <w:t>( 146 )</w:t>
      </w:r>
      <w:r>
        <w:rPr>
          <w:sz w:val="24"/>
          <w:szCs w:val="24"/>
          <w:lang w:val="fr-FR"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- </w:t>
      </w:r>
      <w:proofErr w:type="gramStart"/>
      <w:r>
        <w:rPr>
          <w:rFonts w:hint="cs"/>
          <w:sz w:val="22"/>
          <w:szCs w:val="22"/>
          <w:rtl/>
        </w:rPr>
        <w:t>ينظر :</w:t>
      </w:r>
      <w:proofErr w:type="gram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sz w:val="22"/>
          <w:szCs w:val="22"/>
          <w:lang w:val="fr-FR"/>
        </w:rPr>
        <w:t>Jauss</w:t>
      </w:r>
      <w:proofErr w:type="spellEnd"/>
      <w:r>
        <w:rPr>
          <w:sz w:val="22"/>
          <w:szCs w:val="22"/>
          <w:lang w:val="fr-FR"/>
        </w:rPr>
        <w:t xml:space="preserve"> ; Pour une </w:t>
      </w:r>
      <w:proofErr w:type="spellStart"/>
      <w:r>
        <w:rPr>
          <w:sz w:val="22"/>
          <w:szCs w:val="22"/>
          <w:lang w:val="fr-FR"/>
        </w:rPr>
        <w:t>ésthétique</w:t>
      </w:r>
      <w:proofErr w:type="spellEnd"/>
      <w:r>
        <w:rPr>
          <w:sz w:val="22"/>
          <w:szCs w:val="22"/>
          <w:lang w:val="fr-FR"/>
        </w:rPr>
        <w:t xml:space="preserve"> de la réception , p 259</w:t>
      </w:r>
      <w:r>
        <w:rPr>
          <w:sz w:val="24"/>
          <w:szCs w:val="24"/>
          <w:lang w:val="fr-FR"/>
        </w:rPr>
        <w:t xml:space="preserve"> .                                                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74"/>
    <w:rsid w:val="005D25CA"/>
    <w:rsid w:val="00733285"/>
    <w:rsid w:val="008003A1"/>
    <w:rsid w:val="00C1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1A8E"/>
  <w15:chartTrackingRefBased/>
  <w15:docId w15:val="{114741E5-A609-47F9-AB90-115631F0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285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73328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33285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ppelnotedebasdep">
    <w:name w:val="footnote reference"/>
    <w:basedOn w:val="Policepardfaut"/>
    <w:semiHidden/>
    <w:rsid w:val="007332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kheiro daiche</dc:creator>
  <cp:keywords/>
  <dc:description/>
  <cp:lastModifiedBy>kheiro daiche</cp:lastModifiedBy>
  <cp:revision>2</cp:revision>
  <dcterms:created xsi:type="dcterms:W3CDTF">2023-01-09T14:36:00Z</dcterms:created>
  <dcterms:modified xsi:type="dcterms:W3CDTF">2023-01-09T14:38:00Z</dcterms:modified>
</cp:coreProperties>
</file>