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D428" w14:textId="77777777" w:rsidR="00694C8D" w:rsidRDefault="00694C8D" w:rsidP="00694C8D">
      <w:pPr>
        <w:spacing w:before="120" w:after="24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</w:t>
      </w:r>
      <w:r w:rsidRPr="0070220B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</w:p>
    <w:p w14:paraId="09FAFF88" w14:textId="77777777" w:rsidR="00694C8D" w:rsidRPr="00694C8D" w:rsidRDefault="00694C8D" w:rsidP="00694C8D">
      <w:pPr>
        <w:bidi/>
        <w:spacing w:before="120" w:after="240"/>
        <w:jc w:val="lowKashida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eastAsia="ar-SA"/>
        </w:rPr>
      </w:pPr>
      <w:r w:rsidRPr="00694C8D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المحاضرة </w:t>
      </w:r>
      <w:proofErr w:type="gramStart"/>
      <w:r w:rsidRPr="00694C8D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>5 :</w:t>
      </w:r>
      <w:proofErr w:type="gramEnd"/>
      <w:r w:rsidRPr="00694C8D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eastAsia="ar-SA"/>
        </w:rPr>
        <w:t xml:space="preserve"> التزامني والتعاقبي في تاريخ الأدب :</w:t>
      </w:r>
    </w:p>
    <w:p w14:paraId="3E49BA3E" w14:textId="400B3B9E" w:rsidR="00694C8D" w:rsidRPr="0070220B" w:rsidRDefault="00694C8D" w:rsidP="00694C8D">
      <w:pPr>
        <w:spacing w:before="120" w:after="240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70220B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إنّ هذا المنظور المتجدّد مع كلّ حقبة و مع أفق كلّ </w:t>
      </w:r>
      <w:proofErr w:type="gramStart"/>
      <w:r w:rsidRPr="0070220B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زمن ،</w:t>
      </w:r>
      <w:proofErr w:type="gramEnd"/>
      <w:r w:rsidRPr="0070220B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قد يعني بشكل ما تجدّدا في الصورة التي يظهر بها العمل ، ذلك أنّ هذا التجدّد إنّما هو خاصية جمالية تُنشئها جملة العوامل التي تربط المتلقي بالنصّ ، مثل عامل المفاجأة و عامل المباعدة المرتبطان بتخييب التوقّع و دحض الأفق ، </w:t>
      </w:r>
    </w:p>
    <w:p w14:paraId="2D7AB5C4" w14:textId="77777777" w:rsidR="00694C8D" w:rsidRPr="00CB54F0" w:rsidRDefault="00694C8D" w:rsidP="00694C8D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غير إ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نّ الخاصية الجمالية ليست وحدها كفيلة بأن تكشف عن هذا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التجدّد ،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بل إنّ تجدّدا ذا خاصية تاريخية أيضا يمكن أن يُعايَن ضمن التحليل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الدياكروني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هذا التحليل الذي يبحث في العوامل التاريخية التي تترجم لنا كيف أنّ ظاهرة أدبية ما اُستقبلت على أنّها عمل جديد ، و بأيّ معيار قد تمّ النظر إلى هذه الجدّة في اللحظة التاريخية التي ظهر فيها العمل 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1"/>
        <w:t>( 133 )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579BE07E" w14:textId="77777777" w:rsidR="00694C8D" w:rsidRPr="00CB54F0" w:rsidRDefault="00694C8D" w:rsidP="00694C8D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و إذا كان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قد أقرّ بفعالية الحركة التعاقبية ( التاريخية ) لسلسلة تلقي العمل و توالي هذه السلسلة عبر جملة التأثيرات التي تركها العمل مع كلّ جمهور ، فإنّه أيضا يدعو إلى الإقرار بفعالية المحور المقابل في التحليل و الدراسة الأدبية ، و هو المحور ( التزامني ) الذي يحدّد وضعية النصّ الأدبي في إطار السلسلة الأدبية التي ينتظم فيها ، بمعنى : (( دمج التحليلين التعاقبي        و التزامني في عملية تحليلية واحدة (...) و الاستفادة من الدراسة التزامنية للخطاب القائمة على التحليل اللساني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2"/>
        <w:t>( 134 )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.إنّ التصوّر المبدئي عند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في صياغة نظرية لتاريخ الأدب يعتمد بصورة أوضح على التحليل التعاقبي الذي يهتم بتفسير التغيّرات الحاصلة في المعايير و القيم ، التي يتمّ بها تلقي العمل من جيل إلى جيل أو من جمهور إلى جمهور ؛ غير أنّ هذا التحليل لا يمكنه أن يكون مطلقا في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تقفّيه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للبعد التاريخي للعمل ، إلاّ إذا وَضَع ضمن تصوّره فعالية الدراسة الوصفية   ( التزامنية ) للعمل ، بتقريب العمل ، عن طريق تأثيره التاريخي ، من المعايير و القيم الفنّية السائدة ، التي يستدعيها الجنس الذي ينتمي إليه العمل ،  و كشف العلاقة بين العمل و المناخ الأدبي : (( حيث لا يمكن لهذا العمل أن يفرض نفسه إلاّ تنافسا مع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 xml:space="preserve">أعمال أخرى ناشئة عن أجناس    أخرى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3"/>
        <w:t>( 135 )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لذلك فإنّ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تاريخانية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الأدب لا يمكنها أن تتجلى إلاّ في نقطة تقاطع المحورين ، التزامني و التعاقبي .</w:t>
      </w:r>
    </w:p>
    <w:p w14:paraId="120015C5" w14:textId="77777777" w:rsidR="00694C8D" w:rsidRPr="00CB54F0" w:rsidRDefault="00694C8D" w:rsidP="00694C8D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لقد بات واضحا في تحديد </w:t>
      </w:r>
      <w:proofErr w:type="spellStart"/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أنّ المقطع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السنكروني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لحقبة أدبية معيّنة ضرورة لا يمكن تجاوزها ، بل يجب أن تكون أكثر من ذلك مقاطعا لحقب أدبية متباينة ، حيث يمكن إعادة تشكيل الأفق الأدبي للحظة تاريخية محدّدة ، و حيث يمكن التحقّق من الأعمال في مدى انسجامها مع أفق زمنها ، و أيّ هذه الأعمال قد تجاوز ذلك الأفق ؟ و أيّ هذه الأعمال أيضا لا يرتبط بأفق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عصره ؟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إنّ تـلازم و امتزاج المـلامح المتزامنة وغير </w:t>
      </w:r>
      <w:proofErr w:type="gram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المتزامنة  </w:t>
      </w:r>
      <w:r w:rsidRPr="00CB54F0"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  <w:t>–</w:t>
      </w:r>
      <w:proofErr w:type="gram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علـى حدّ ما قال به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كراكاور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</w:t>
      </w:r>
      <w:proofErr w:type="spellStart"/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Kracauer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4"/>
        <w:t>( 136 )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  <w:t>–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فـي لحظة تاريخية ما يستدعـي إجراء هذا المقطع التزامني بغية كشف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التاريخانية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الحقّيقية للظواهر الأدبية ، حيث  يمكن بالضبط ، أن يتقاطع المحور التعاقبي مع المحور التزامني .</w:t>
      </w:r>
    </w:p>
    <w:p w14:paraId="284FF1CC" w14:textId="77777777" w:rsidR="00694C8D" w:rsidRPr="00CB54F0" w:rsidRDefault="00694C8D" w:rsidP="00694C8D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كما أنّه لا يمكن الفصل بين ماضي و حاضر النظام التزامني ، ذلك أنّ الأدب يشبه اللغة في نظام تطوّرها </w:t>
      </w:r>
      <w:r w:rsidRPr="00CB54F0"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  <w:t>–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و هو الذي نقله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ياوس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عن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ياكبسون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و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تينيانوف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في تعريف الأدب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5"/>
        <w:t>( 137 )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  <w:r w:rsidRPr="00CB54F0"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  <w:t>–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بحيث إنّ النظام التزامنـي له ماضيه و مستقبله الذي يتجلى عبر مراحل تطوّره ، و هو يعين على تحديد الوظائف و التشكيلات الثابتة أو المتغيّرة في نظام اللغة التي تلعب بدورها دورا محدّدا في نظام الأدب ، لذلك فإنّ الأدب يمتلك نوعا من النحو و علم التراكيب الثابتة نسبيا ، و المتمثّلة في نظام العوامل المُقنّنة أو غير المُقنّنة  ( الأجناس ، أنماط التعبير ، الأساليب ، الصور البلاغية ) ، التي تتقاطع بدورها مع ما يخصّ الدلالة في تنوّعها ( موضوعات أدبية ، نماذج مثالية ، رموز ،        و استعارات 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6"/>
        <w:t>( 138 )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، و بالتالي يمكن أن نفعّل التفسير الوظيفي للعلاقة المتطوّرة بين إنتاج العمل    و تلقيه ، و أن نتمثّل تطوّر الآفاق عبر تاريخ التجربة الجمالية ، التي تسعى إلى تحاشي الأهواء الذاتية في تلقي الأعمال ، و تحليل الآفاق المتغيّرة : (( إنّنا لكي ندرس تغيّر الأفق الذي يحدث داخل مسار التطور الأدبي فإنّه ليس من الضروري تتبّعه تعاقبيا (...) و إنّما يمكن تمثّله أيضا ، بمعاينة كيف أنّ حالة النظام التزامني لأدب ما تغيّر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7"/>
        <w:t>( 139 )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1DFBE0AD" w14:textId="77777777" w:rsidR="00694C8D" w:rsidRPr="00CB54F0" w:rsidRDefault="00694C8D" w:rsidP="00694C8D">
      <w:pPr>
        <w:bidi/>
        <w:spacing w:before="120" w:after="24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val="en-US" w:eastAsia="ar-SA"/>
        </w:rPr>
      </w:pP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   إنّه بإمكاننا أن نعود الآن إلى مفهوم الأفق المزدوج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Double Horizon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كما أشرنا من قبل ، فالعمل الأدبي كخاصية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حدثية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إنّما هو مجموع اللقاء بين أفقين : أفق التوقّع الذي يستدعيه العمل ، و أفق التجربة الذي يحمله القارئ معه ، ذلك أنّ التاريخ الأدبي لا يمكنه أن يكون تاريخا مستقلا   و منعزلا عن 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lastRenderedPageBreak/>
        <w:t xml:space="preserve">التاريخ العام ، و أنّ علاقته بالتاريخ العام هي علاقة بقدرة القارئ على إنتاج المعنى و إعادة إنتاجه في لقائه مع النصّ ، و ضمن الوظيفة الاجتماعية للأدب : (( إنّ الوظيفة الاجتماعية للأدب لا يمكنها أن تُمارَس إلاّ في الوقت الذي تتدخّل فيه التجربة الأدبية للقارئ في أفق توقّع ممارساته العملية و التطبيقية ( </w:t>
      </w:r>
      <w:r w:rsidRPr="00CB54F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Praxis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8"/>
        <w:t>(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sym w:font="Symbol" w:char="F02A"/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t>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</w:t>
      </w:r>
      <w:proofErr w:type="spellStart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>المعاشة</w:t>
      </w:r>
      <w:proofErr w:type="spellEnd"/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)) </w:t>
      </w:r>
      <w:r w:rsidRPr="00CB54F0">
        <w:rPr>
          <w:rFonts w:ascii="Times New Roman" w:eastAsia="Times New Roman" w:hAnsi="Times New Roman" w:cs="Simplified Arabic"/>
          <w:sz w:val="28"/>
          <w:szCs w:val="28"/>
          <w:vertAlign w:val="superscript"/>
          <w:rtl/>
          <w:lang w:val="en-US" w:eastAsia="ar-SA"/>
        </w:rPr>
        <w:footnoteReference w:customMarkFollows="1" w:id="9"/>
        <w:t>( 140 )</w:t>
      </w:r>
      <w:r w:rsidRPr="00CB54F0">
        <w:rPr>
          <w:rFonts w:ascii="Times New Roman" w:eastAsia="Times New Roman" w:hAnsi="Times New Roman" w:cs="Simplified Arabic" w:hint="cs"/>
          <w:sz w:val="28"/>
          <w:szCs w:val="28"/>
          <w:rtl/>
          <w:lang w:val="en-US" w:eastAsia="ar-SA"/>
        </w:rPr>
        <w:t xml:space="preserve"> .</w:t>
      </w:r>
    </w:p>
    <w:p w14:paraId="1FC79B3B" w14:textId="77777777" w:rsidR="005D25CA" w:rsidRDefault="005D25CA"/>
    <w:sectPr w:rsidR="005D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8E61" w14:textId="77777777" w:rsidR="004B3656" w:rsidRDefault="004B3656" w:rsidP="00694C8D">
      <w:pPr>
        <w:spacing w:after="0" w:line="240" w:lineRule="auto"/>
      </w:pPr>
      <w:r>
        <w:separator/>
      </w:r>
    </w:p>
  </w:endnote>
  <w:endnote w:type="continuationSeparator" w:id="0">
    <w:p w14:paraId="701007A2" w14:textId="77777777" w:rsidR="004B3656" w:rsidRDefault="004B3656" w:rsidP="0069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A695" w14:textId="77777777" w:rsidR="004B3656" w:rsidRDefault="004B3656" w:rsidP="00694C8D">
      <w:pPr>
        <w:spacing w:after="0" w:line="240" w:lineRule="auto"/>
      </w:pPr>
      <w:r>
        <w:separator/>
      </w:r>
    </w:p>
  </w:footnote>
  <w:footnote w:type="continuationSeparator" w:id="0">
    <w:p w14:paraId="62AD91EF" w14:textId="77777777" w:rsidR="004B3656" w:rsidRDefault="004B3656" w:rsidP="00694C8D">
      <w:pPr>
        <w:spacing w:after="0" w:line="240" w:lineRule="auto"/>
      </w:pPr>
      <w:r>
        <w:continuationSeparator/>
      </w:r>
    </w:p>
  </w:footnote>
  <w:footnote w:id="1">
    <w:p w14:paraId="62E6FDD9" w14:textId="77777777" w:rsidR="00694C8D" w:rsidRDefault="00694C8D" w:rsidP="00694C8D">
      <w:pPr>
        <w:pStyle w:val="Notedebasdepage"/>
        <w:rPr>
          <w:sz w:val="24"/>
          <w:szCs w:val="24"/>
        </w:rPr>
      </w:pPr>
      <w:r>
        <w:rPr>
          <w:rStyle w:val="Appelnotedebasdep"/>
        </w:rPr>
        <w:t>( 133 )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</w:t>
      </w:r>
      <w:proofErr w:type="gramStart"/>
      <w:r>
        <w:rPr>
          <w:rFonts w:hint="cs"/>
          <w:sz w:val="22"/>
          <w:szCs w:val="22"/>
          <w:rtl/>
        </w:rPr>
        <w:t>ينظر :</w:t>
      </w:r>
      <w:r>
        <w:rPr>
          <w:sz w:val="22"/>
          <w:szCs w:val="22"/>
        </w:rPr>
        <w:t>IBID</w:t>
      </w:r>
      <w:proofErr w:type="gramEnd"/>
      <w:r>
        <w:rPr>
          <w:sz w:val="22"/>
          <w:szCs w:val="22"/>
        </w:rPr>
        <w:t xml:space="preserve"> ; p </w:t>
      </w:r>
      <w:proofErr w:type="spellStart"/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67 -68</w:t>
      </w:r>
      <w:r>
        <w:rPr>
          <w:sz w:val="24"/>
          <w:szCs w:val="24"/>
        </w:rPr>
        <w:t xml:space="preserve">  .                                                                                                                 </w:t>
      </w:r>
    </w:p>
  </w:footnote>
  <w:footnote w:id="2">
    <w:p w14:paraId="52A56617" w14:textId="77777777" w:rsidR="00694C8D" w:rsidRDefault="00694C8D" w:rsidP="00694C8D">
      <w:pPr>
        <w:pStyle w:val="Notedebasdepage"/>
        <w:spacing w:before="120"/>
        <w:rPr>
          <w:sz w:val="22"/>
          <w:szCs w:val="22"/>
          <w:rtl/>
        </w:rPr>
      </w:pPr>
      <w:r>
        <w:rPr>
          <w:rStyle w:val="Appelnotedebasdep"/>
        </w:rPr>
        <w:t>( 134 )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</w:t>
      </w:r>
      <w:r>
        <w:rPr>
          <w:rFonts w:hint="cs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عبد الناصر حسن </w:t>
      </w:r>
      <w:proofErr w:type="gramStart"/>
      <w:r>
        <w:rPr>
          <w:rFonts w:hint="cs"/>
          <w:sz w:val="22"/>
          <w:szCs w:val="22"/>
          <w:rtl/>
        </w:rPr>
        <w:t>محمد :</w:t>
      </w:r>
      <w:proofErr w:type="gramEnd"/>
      <w:r>
        <w:rPr>
          <w:rFonts w:hint="cs"/>
          <w:sz w:val="22"/>
          <w:szCs w:val="22"/>
          <w:rtl/>
        </w:rPr>
        <w:t xml:space="preserve"> نظرية التوصيل و قراءة النصّ الأدبي ، المكتب المصري لتوزيع المطبوعات ، مصر ، 1999 ، ص </w:t>
      </w:r>
      <w:proofErr w:type="spellStart"/>
      <w:r>
        <w:rPr>
          <w:rFonts w:hint="cs"/>
          <w:sz w:val="22"/>
          <w:szCs w:val="22"/>
          <w:rtl/>
        </w:rPr>
        <w:t>ص</w:t>
      </w:r>
      <w:proofErr w:type="spellEnd"/>
      <w:r>
        <w:rPr>
          <w:rFonts w:hint="cs"/>
          <w:sz w:val="22"/>
          <w:szCs w:val="22"/>
          <w:rtl/>
        </w:rPr>
        <w:t xml:space="preserve">  116 </w:t>
      </w:r>
      <w:r>
        <w:rPr>
          <w:sz w:val="22"/>
          <w:szCs w:val="22"/>
          <w:rtl/>
        </w:rPr>
        <w:t>–</w:t>
      </w:r>
      <w:r>
        <w:rPr>
          <w:rFonts w:hint="cs"/>
          <w:sz w:val="22"/>
          <w:szCs w:val="22"/>
          <w:rtl/>
        </w:rPr>
        <w:t xml:space="preserve"> 117 . </w:t>
      </w:r>
    </w:p>
  </w:footnote>
  <w:footnote w:id="3">
    <w:p w14:paraId="2E4A6EA7" w14:textId="77777777" w:rsidR="00694C8D" w:rsidRDefault="00694C8D" w:rsidP="00694C8D">
      <w:pPr>
        <w:pStyle w:val="Notedebasdepage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( 135 )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Jauss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;  </w:t>
      </w:r>
      <w:r>
        <w:rPr>
          <w:sz w:val="22"/>
          <w:szCs w:val="22"/>
          <w:lang w:val="fr-FR"/>
        </w:rPr>
        <w:t>pour</w:t>
      </w:r>
      <w:proofErr w:type="gramEnd"/>
      <w:r>
        <w:rPr>
          <w:sz w:val="22"/>
          <w:szCs w:val="22"/>
          <w:lang w:val="fr-FR"/>
        </w:rPr>
        <w:t xml:space="preserve"> une </w:t>
      </w:r>
      <w:proofErr w:type="spellStart"/>
      <w:r>
        <w:rPr>
          <w:sz w:val="22"/>
          <w:szCs w:val="22"/>
          <w:lang w:val="fr-FR"/>
        </w:rPr>
        <w:t>ésthétique</w:t>
      </w:r>
      <w:proofErr w:type="spellEnd"/>
      <w:r>
        <w:rPr>
          <w:sz w:val="22"/>
          <w:szCs w:val="22"/>
          <w:lang w:val="fr-FR"/>
        </w:rPr>
        <w:t xml:space="preserve"> de la réception p 70 </w:t>
      </w:r>
      <w:r>
        <w:rPr>
          <w:sz w:val="24"/>
          <w:szCs w:val="24"/>
          <w:lang w:val="fr-FR"/>
        </w:rPr>
        <w:t xml:space="preserve">.                                                                                                                               </w:t>
      </w:r>
    </w:p>
  </w:footnote>
  <w:footnote w:id="4">
    <w:p w14:paraId="7883BE87" w14:textId="77777777" w:rsidR="00694C8D" w:rsidRDefault="00694C8D" w:rsidP="00694C8D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( 136 )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proofErr w:type="gramStart"/>
      <w:r>
        <w:rPr>
          <w:rFonts w:hint="cs"/>
          <w:sz w:val="22"/>
          <w:szCs w:val="22"/>
          <w:rtl/>
        </w:rPr>
        <w:t xml:space="preserve">ينظر </w:t>
      </w:r>
      <w:r>
        <w:rPr>
          <w:rFonts w:hint="cs"/>
          <w:sz w:val="24"/>
          <w:szCs w:val="24"/>
          <w:rtl/>
        </w:rPr>
        <w:t>:</w:t>
      </w:r>
      <w:proofErr w:type="gramEnd"/>
      <w:r>
        <w:rPr>
          <w:sz w:val="22"/>
          <w:szCs w:val="22"/>
        </w:rPr>
        <w:t xml:space="preserve"> IBID , p 70 </w:t>
      </w:r>
      <w:r>
        <w:rPr>
          <w:sz w:val="24"/>
          <w:szCs w:val="24"/>
        </w:rPr>
        <w:t xml:space="preserve">.                                                                                                                </w:t>
      </w:r>
    </w:p>
  </w:footnote>
  <w:footnote w:id="5">
    <w:p w14:paraId="71313448" w14:textId="77777777" w:rsidR="00694C8D" w:rsidRDefault="00694C8D" w:rsidP="00694C8D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( 137 )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 </w:t>
      </w:r>
      <w:proofErr w:type="gramStart"/>
      <w:r>
        <w:rPr>
          <w:rFonts w:hint="cs"/>
          <w:sz w:val="22"/>
          <w:szCs w:val="22"/>
          <w:rtl/>
        </w:rPr>
        <w:t xml:space="preserve">ينظر </w:t>
      </w:r>
      <w:r>
        <w:rPr>
          <w:rFonts w:hint="cs"/>
          <w:sz w:val="24"/>
          <w:szCs w:val="24"/>
          <w:rtl/>
        </w:rPr>
        <w:t>:</w:t>
      </w:r>
      <w:proofErr w:type="gramEnd"/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</w:rPr>
        <w:t>IBID : p 71</w:t>
      </w:r>
      <w:r>
        <w:rPr>
          <w:sz w:val="24"/>
          <w:szCs w:val="24"/>
        </w:rPr>
        <w:t xml:space="preserve">.                                                                                                            </w:t>
      </w:r>
    </w:p>
  </w:footnote>
  <w:footnote w:id="6">
    <w:p w14:paraId="07AF9616" w14:textId="77777777" w:rsidR="00694C8D" w:rsidRDefault="00694C8D" w:rsidP="00694C8D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( 138 )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</w:t>
      </w:r>
      <w:proofErr w:type="gramStart"/>
      <w:r>
        <w:rPr>
          <w:rFonts w:hint="cs"/>
          <w:sz w:val="22"/>
          <w:szCs w:val="22"/>
          <w:rtl/>
        </w:rPr>
        <w:t>ينظر</w:t>
      </w:r>
      <w:r>
        <w:rPr>
          <w:rFonts w:hint="cs"/>
          <w:sz w:val="24"/>
          <w:szCs w:val="24"/>
          <w:rtl/>
        </w:rPr>
        <w:t xml:space="preserve"> :</w:t>
      </w:r>
      <w:proofErr w:type="gramEnd"/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</w:rPr>
        <w:t xml:space="preserve">IBID ; p 72 .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</w:footnote>
  <w:footnote w:id="7">
    <w:p w14:paraId="761D7B11" w14:textId="77777777" w:rsidR="00694C8D" w:rsidRDefault="00694C8D" w:rsidP="00694C8D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( 139 )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IBID ; p </w:t>
      </w:r>
      <w:proofErr w:type="gramStart"/>
      <w:r>
        <w:rPr>
          <w:sz w:val="22"/>
          <w:szCs w:val="22"/>
        </w:rPr>
        <w:t>72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</w:footnote>
  <w:footnote w:id="8">
    <w:p w14:paraId="64073A67" w14:textId="77777777" w:rsidR="00694C8D" w:rsidRDefault="00694C8D" w:rsidP="00694C8D">
      <w:pPr>
        <w:pStyle w:val="Notedebasdepage"/>
        <w:jc w:val="lowKashida"/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- </w:t>
      </w:r>
      <w:r>
        <w:rPr>
          <w:rFonts w:hint="cs"/>
          <w:sz w:val="22"/>
          <w:szCs w:val="22"/>
          <w:rtl/>
        </w:rPr>
        <w:t xml:space="preserve">الإضافة بين قوسين من </w:t>
      </w:r>
      <w:proofErr w:type="gramStart"/>
      <w:r>
        <w:rPr>
          <w:rFonts w:hint="cs"/>
          <w:sz w:val="22"/>
          <w:szCs w:val="22"/>
          <w:rtl/>
        </w:rPr>
        <w:t>عندنا ،</w:t>
      </w:r>
      <w:proofErr w:type="gramEnd"/>
      <w:r>
        <w:rPr>
          <w:rFonts w:hint="cs"/>
          <w:sz w:val="22"/>
          <w:szCs w:val="22"/>
          <w:rtl/>
        </w:rPr>
        <w:t xml:space="preserve"> و هي مأخوذة من كتاب </w:t>
      </w:r>
      <w:proofErr w:type="spellStart"/>
      <w:r>
        <w:rPr>
          <w:rFonts w:hint="cs"/>
          <w:sz w:val="22"/>
          <w:szCs w:val="22"/>
          <w:rtl/>
        </w:rPr>
        <w:t>ياوس</w:t>
      </w:r>
      <w:proofErr w:type="spellEnd"/>
      <w:r>
        <w:rPr>
          <w:rFonts w:hint="cs"/>
          <w:sz w:val="22"/>
          <w:szCs w:val="22"/>
          <w:rtl/>
        </w:rPr>
        <w:t xml:space="preserve"> الذي تُرجم إلى الفرنسية ، على أنّ كلمة </w:t>
      </w:r>
      <w:r>
        <w:rPr>
          <w:sz w:val="22"/>
          <w:szCs w:val="22"/>
        </w:rPr>
        <w:t>praxis)</w:t>
      </w:r>
      <w:r>
        <w:rPr>
          <w:rFonts w:hint="cs"/>
          <w:sz w:val="22"/>
          <w:szCs w:val="22"/>
          <w:rtl/>
        </w:rPr>
        <w:t xml:space="preserve"> ) مقتبسة من الفلسفة الماركسية و هي تعني التطبيق العملي ، أو محاولات تغيير العالم ، و بخاصة وسائل الإنتاج التي تقوم عليها البنى الاجتماعية . بينما تعني في الفلسفة </w:t>
      </w:r>
      <w:proofErr w:type="gramStart"/>
      <w:r>
        <w:rPr>
          <w:rFonts w:hint="cs"/>
          <w:sz w:val="22"/>
          <w:szCs w:val="22"/>
          <w:rtl/>
        </w:rPr>
        <w:t>الوجودية :</w:t>
      </w:r>
      <w:proofErr w:type="gramEnd"/>
      <w:r>
        <w:rPr>
          <w:rFonts w:hint="cs"/>
          <w:sz w:val="22"/>
          <w:szCs w:val="22"/>
          <w:rtl/>
        </w:rPr>
        <w:t xml:space="preserve"> ما ينكشف به الوجود في التاريخ .</w:t>
      </w:r>
    </w:p>
  </w:footnote>
  <w:footnote w:id="9">
    <w:p w14:paraId="04586BBF" w14:textId="77777777" w:rsidR="00694C8D" w:rsidRDefault="00694C8D" w:rsidP="00694C8D">
      <w:pPr>
        <w:pStyle w:val="Notedebasdepage"/>
        <w:jc w:val="lowKashida"/>
        <w:rPr>
          <w:sz w:val="24"/>
          <w:szCs w:val="24"/>
          <w:lang w:val="fr-FR"/>
        </w:rPr>
      </w:pPr>
      <w:r>
        <w:rPr>
          <w:lang w:val="fr-FR"/>
        </w:rPr>
        <w:t xml:space="preserve"> </w:t>
      </w:r>
      <w:r>
        <w:rPr>
          <w:rStyle w:val="Appelnotedebasdep"/>
          <w:lang w:val="fr-FR"/>
        </w:rPr>
        <w:t>( 140 )</w:t>
      </w:r>
      <w:r>
        <w:rPr>
          <w:sz w:val="24"/>
          <w:szCs w:val="24"/>
          <w:rtl/>
          <w:lang w:val="fr-FR"/>
        </w:rPr>
        <w:t>–</w:t>
      </w:r>
      <w:r>
        <w:rPr>
          <w:rFonts w:hint="cs"/>
          <w:sz w:val="24"/>
          <w:szCs w:val="24"/>
          <w:rtl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Jauss</w:t>
      </w:r>
      <w:proofErr w:type="spellEnd"/>
      <w:r>
        <w:rPr>
          <w:sz w:val="22"/>
          <w:szCs w:val="22"/>
          <w:lang w:val="fr-FR"/>
        </w:rPr>
        <w:t xml:space="preserve"> ; Pour Une Herméneutique Littéraire</w:t>
      </w:r>
      <w:proofErr w:type="gramStart"/>
      <w:r>
        <w:rPr>
          <w:sz w:val="22"/>
          <w:szCs w:val="22"/>
          <w:lang w:val="fr-FR"/>
        </w:rPr>
        <w:t xml:space="preserve"> ,</w:t>
      </w:r>
      <w:proofErr w:type="gramEnd"/>
      <w:r>
        <w:rPr>
          <w:sz w:val="22"/>
          <w:szCs w:val="22"/>
          <w:lang w:val="fr-FR"/>
        </w:rPr>
        <w:t xml:space="preserve"> p431</w:t>
      </w:r>
      <w:r>
        <w:rPr>
          <w:sz w:val="24"/>
          <w:szCs w:val="24"/>
          <w:lang w:val="fr-FR"/>
        </w:rPr>
        <w:t xml:space="preserve"> .                      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2"/>
    <w:rsid w:val="004B3656"/>
    <w:rsid w:val="005D25CA"/>
    <w:rsid w:val="00694C8D"/>
    <w:rsid w:val="009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6AE5"/>
  <w15:chartTrackingRefBased/>
  <w15:docId w15:val="{16BC2F2D-AB08-4CC7-9642-1B1CBAE0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8D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694C8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694C8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694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2</cp:revision>
  <dcterms:created xsi:type="dcterms:W3CDTF">2023-01-09T14:33:00Z</dcterms:created>
  <dcterms:modified xsi:type="dcterms:W3CDTF">2023-01-09T14:36:00Z</dcterms:modified>
</cp:coreProperties>
</file>