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C309" w14:textId="77777777" w:rsidR="009C0FD1" w:rsidRPr="009C0FD1" w:rsidRDefault="009C0FD1" w:rsidP="009C0FD1">
      <w:pPr>
        <w:spacing w:before="120" w:after="240"/>
        <w:jc w:val="lowKashida"/>
        <w:rPr>
          <w:rFonts w:cs="Simplified Arabic"/>
          <w:b/>
          <w:bCs/>
          <w:sz w:val="36"/>
          <w:szCs w:val="36"/>
          <w:rtl/>
        </w:rPr>
      </w:pPr>
      <w:r w:rsidRPr="009C0FD1">
        <w:rPr>
          <w:rFonts w:cs="Simplified Arabic" w:hint="cs"/>
          <w:b/>
          <w:bCs/>
          <w:sz w:val="36"/>
          <w:szCs w:val="36"/>
          <w:rtl/>
        </w:rPr>
        <w:t xml:space="preserve">  </w:t>
      </w:r>
      <w:r w:rsidRPr="009C0FD1">
        <w:rPr>
          <w:rFonts w:cs="Simplified Arabic" w:hint="cs"/>
          <w:b/>
          <w:bCs/>
          <w:sz w:val="36"/>
          <w:szCs w:val="36"/>
          <w:rtl/>
        </w:rPr>
        <w:t xml:space="preserve">المحاضرة </w:t>
      </w:r>
      <w:proofErr w:type="gramStart"/>
      <w:r w:rsidRPr="009C0FD1">
        <w:rPr>
          <w:rFonts w:cs="Simplified Arabic" w:hint="cs"/>
          <w:b/>
          <w:bCs/>
          <w:sz w:val="36"/>
          <w:szCs w:val="36"/>
          <w:rtl/>
        </w:rPr>
        <w:t>4 :</w:t>
      </w:r>
      <w:proofErr w:type="gramEnd"/>
      <w:r w:rsidRPr="009C0FD1">
        <w:rPr>
          <w:rFonts w:cs="Simplified Arabic" w:hint="cs"/>
          <w:b/>
          <w:bCs/>
          <w:sz w:val="36"/>
          <w:szCs w:val="36"/>
          <w:rtl/>
        </w:rPr>
        <w:t xml:space="preserve"> المسافة الجمالية :</w:t>
      </w:r>
    </w:p>
    <w:p w14:paraId="6BDBDD84" w14:textId="6B098FDB" w:rsidR="009C0FD1" w:rsidRDefault="009C0FD1" w:rsidP="009C0FD1">
      <w:pPr>
        <w:spacing w:before="120" w:after="240"/>
        <w:jc w:val="lowKashida"/>
        <w:rPr>
          <w:rFonts w:cs="Simplified Arabic"/>
          <w:sz w:val="28"/>
          <w:szCs w:val="28"/>
          <w:rtl/>
          <w:lang w:val="fr-FR"/>
        </w:rPr>
      </w:pPr>
      <w:r>
        <w:rPr>
          <w:rFonts w:cs="Simplified Arabic" w:hint="cs"/>
          <w:sz w:val="28"/>
          <w:szCs w:val="28"/>
          <w:rtl/>
        </w:rPr>
        <w:t xml:space="preserve">   إنّ المسافة الجمـالية أو الانزيـاح الجمـالي يمكنه أن </w:t>
      </w:r>
      <w:proofErr w:type="spellStart"/>
      <w:r>
        <w:rPr>
          <w:rFonts w:cs="Simplified Arabic" w:hint="cs"/>
          <w:sz w:val="28"/>
          <w:szCs w:val="28"/>
          <w:rtl/>
        </w:rPr>
        <w:t>يموضع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العمل الجديد داخل خـانة الفنّ </w:t>
      </w:r>
      <w:r>
        <w:rPr>
          <w:rFonts w:cs="Simplified Arabic"/>
          <w:sz w:val="28"/>
          <w:szCs w:val="28"/>
          <w:lang w:val="fr-FR"/>
        </w:rPr>
        <w:t xml:space="preserve"> </w:t>
      </w:r>
      <w:r>
        <w:rPr>
          <w:rFonts w:cs="Simplified Arabic" w:hint="cs"/>
          <w:sz w:val="28"/>
          <w:szCs w:val="28"/>
          <w:rtl/>
          <w:lang w:val="fr-FR"/>
        </w:rPr>
        <w:t>المستهلك</w:t>
      </w:r>
      <w:r>
        <w:rPr>
          <w:rFonts w:cs="Simplified Arabic"/>
          <w:sz w:val="28"/>
          <w:szCs w:val="28"/>
          <w:lang w:val="fr-FR"/>
        </w:rPr>
        <w:t>l'art culinaire</w:t>
      </w:r>
      <w:r>
        <w:rPr>
          <w:rFonts w:cs="Simplified Arabic"/>
          <w:sz w:val="28"/>
          <w:szCs w:val="28"/>
        </w:rPr>
        <w:t xml:space="preserve">   </w:t>
      </w:r>
      <w:r>
        <w:rPr>
          <w:rFonts w:cs="Simplified Arabic" w:hint="cs"/>
          <w:sz w:val="28"/>
          <w:szCs w:val="28"/>
          <w:rtl/>
          <w:lang w:val="fr-FR"/>
        </w:rPr>
        <w:t xml:space="preserve"> </w:t>
      </w:r>
      <w:r>
        <w:rPr>
          <w:rStyle w:val="Appelnotedebasdep"/>
          <w:rFonts w:cs="Simplified Arabic"/>
          <w:sz w:val="28"/>
          <w:szCs w:val="28"/>
          <w:rtl/>
          <w:lang w:val="fr-FR"/>
        </w:rPr>
        <w:footnoteReference w:customMarkFollows="1" w:id="1"/>
        <w:t>(</w:t>
      </w:r>
      <w:r>
        <w:rPr>
          <w:rStyle w:val="Appelnotedebasdep"/>
          <w:rFonts w:cs="Simplified Arabic"/>
          <w:sz w:val="28"/>
          <w:szCs w:val="28"/>
          <w:rtl/>
        </w:rPr>
        <w:sym w:font="Symbol" w:char="F02A"/>
      </w:r>
      <w:r>
        <w:rPr>
          <w:rStyle w:val="Appelnotedebasdep"/>
          <w:rFonts w:cs="Simplified Arabic"/>
          <w:sz w:val="28"/>
          <w:szCs w:val="28"/>
          <w:rtl/>
          <w:lang w:val="fr-FR"/>
        </w:rPr>
        <w:t>)</w:t>
      </w:r>
      <w:r>
        <w:rPr>
          <w:rFonts w:cs="Simplified Arabic" w:hint="cs"/>
          <w:sz w:val="28"/>
          <w:szCs w:val="28"/>
          <w:rtl/>
          <w:lang w:val="fr-FR"/>
        </w:rPr>
        <w:t xml:space="preserve"> إذا ما حدث و أن تقلّصت المسافة بين المعايير التي يعرضها العمل الجديد و بين أفق التوقّع ، وهو ما سيوقع العمل و التجربة القرائية في دائرة ما هو مستهلك و نمطي ، لذا فإنّ إمكانية الحكم الجمالي بدورها متقلّصة تبعا لتقلّص المسافة الجمالية  </w:t>
      </w:r>
      <w:r>
        <w:rPr>
          <w:rStyle w:val="Appelnotedebasdep"/>
          <w:rFonts w:cs="Simplified Arabic"/>
          <w:sz w:val="28"/>
          <w:szCs w:val="28"/>
          <w:rtl/>
          <w:lang w:val="fr-FR"/>
        </w:rPr>
        <w:footnoteReference w:customMarkFollows="1" w:id="2"/>
        <w:t>( 121 )</w:t>
      </w:r>
      <w:r>
        <w:rPr>
          <w:rFonts w:cs="Simplified Arabic" w:hint="cs"/>
          <w:sz w:val="28"/>
          <w:szCs w:val="28"/>
          <w:rtl/>
          <w:lang w:val="fr-FR"/>
        </w:rPr>
        <w:t xml:space="preserve">، التي يُفترض أنّ </w:t>
      </w:r>
      <w:proofErr w:type="spellStart"/>
      <w:r>
        <w:rPr>
          <w:rFonts w:cs="Simplified Arabic" w:hint="cs"/>
          <w:sz w:val="28"/>
          <w:szCs w:val="28"/>
          <w:rtl/>
          <w:lang w:val="fr-FR"/>
        </w:rPr>
        <w:t>ياوس</w:t>
      </w:r>
      <w:proofErr w:type="spellEnd"/>
      <w:r>
        <w:rPr>
          <w:rFonts w:cs="Simplified Arabic" w:hint="cs"/>
          <w:sz w:val="28"/>
          <w:szCs w:val="28"/>
          <w:rtl/>
          <w:lang w:val="fr-FR"/>
        </w:rPr>
        <w:t xml:space="preserve"> اقتبس مفهومها من عند </w:t>
      </w:r>
      <w:proofErr w:type="spellStart"/>
      <w:r>
        <w:rPr>
          <w:rFonts w:cs="Simplified Arabic" w:hint="cs"/>
          <w:sz w:val="28"/>
          <w:szCs w:val="28"/>
          <w:rtl/>
          <w:lang w:val="fr-FR"/>
        </w:rPr>
        <w:t>غادمير</w:t>
      </w:r>
      <w:proofErr w:type="spellEnd"/>
      <w:r>
        <w:rPr>
          <w:rFonts w:cs="Simplified Arabic" w:hint="cs"/>
          <w:sz w:val="28"/>
          <w:szCs w:val="28"/>
          <w:rtl/>
          <w:lang w:val="fr-FR"/>
        </w:rPr>
        <w:t xml:space="preserve"> </w:t>
      </w:r>
      <w:r>
        <w:rPr>
          <w:sz w:val="28"/>
          <w:szCs w:val="28"/>
        </w:rPr>
        <w:t>Gadamer</w:t>
      </w:r>
      <w:r>
        <w:rPr>
          <w:rFonts w:cs="Simplified Arabic" w:hint="cs"/>
          <w:sz w:val="28"/>
          <w:szCs w:val="28"/>
          <w:rtl/>
          <w:lang w:val="fr-FR"/>
        </w:rPr>
        <w:t xml:space="preserve"> لما أسماه بــ : المسافة </w:t>
      </w:r>
      <w:proofErr w:type="spellStart"/>
      <w:r>
        <w:rPr>
          <w:rFonts w:cs="Simplified Arabic" w:hint="cs"/>
          <w:sz w:val="28"/>
          <w:szCs w:val="28"/>
          <w:rtl/>
          <w:lang w:val="fr-FR"/>
        </w:rPr>
        <w:t>الاستلابية</w:t>
      </w:r>
      <w:proofErr w:type="spellEnd"/>
      <w:r>
        <w:rPr>
          <w:rFonts w:cs="Simplified Arabic" w:hint="cs"/>
          <w:sz w:val="28"/>
          <w:szCs w:val="28"/>
          <w:rtl/>
          <w:lang w:val="fr-FR"/>
        </w:rPr>
        <w:t xml:space="preserve">            أو </w:t>
      </w:r>
      <w:proofErr w:type="spellStart"/>
      <w:r>
        <w:rPr>
          <w:rFonts w:cs="Simplified Arabic" w:hint="cs"/>
          <w:sz w:val="28"/>
          <w:szCs w:val="28"/>
          <w:rtl/>
          <w:lang w:val="fr-FR"/>
        </w:rPr>
        <w:t>الاغترابية</w:t>
      </w:r>
      <w:proofErr w:type="spellEnd"/>
      <w:r>
        <w:rPr>
          <w:rFonts w:cs="Simplified Arabic" w:hint="cs"/>
          <w:sz w:val="28"/>
          <w:szCs w:val="28"/>
          <w:rtl/>
          <w:lang w:val="fr-FR"/>
        </w:rPr>
        <w:t xml:space="preserve"> ، يقول </w:t>
      </w:r>
      <w:proofErr w:type="spellStart"/>
      <w:r>
        <w:rPr>
          <w:rFonts w:cs="Simplified Arabic" w:hint="cs"/>
          <w:sz w:val="28"/>
          <w:szCs w:val="28"/>
          <w:rtl/>
          <w:lang w:val="fr-FR"/>
        </w:rPr>
        <w:t>غادمير</w:t>
      </w:r>
      <w:proofErr w:type="spellEnd"/>
      <w:r>
        <w:rPr>
          <w:rFonts w:cs="Simplified Arabic" w:hint="cs"/>
          <w:sz w:val="28"/>
          <w:szCs w:val="28"/>
          <w:rtl/>
          <w:lang w:val="fr-FR"/>
        </w:rPr>
        <w:t xml:space="preserve"> : (( عندما نقيّم الشيء تبعا للخاصية الجمالية ، ثمّة مسافة </w:t>
      </w:r>
      <w:proofErr w:type="spellStart"/>
      <w:r>
        <w:rPr>
          <w:rFonts w:cs="Simplified Arabic" w:hint="cs"/>
          <w:sz w:val="28"/>
          <w:szCs w:val="28"/>
          <w:rtl/>
          <w:lang w:val="fr-FR"/>
        </w:rPr>
        <w:t>استلابية</w:t>
      </w:r>
      <w:proofErr w:type="spellEnd"/>
      <w:r>
        <w:rPr>
          <w:rFonts w:cs="Simplified Arabic" w:hint="cs"/>
          <w:sz w:val="28"/>
          <w:szCs w:val="28"/>
          <w:rtl/>
          <w:lang w:val="fr-FR"/>
        </w:rPr>
        <w:t xml:space="preserve"> مقارنة مع ما هو في الحقيقة مألوف لدينا و متّصل بنا اتّصالا وثيقا ، مسافة من هذا النوع ، التي تجعل الحكم الجمالي أمرا ممكنا )) </w:t>
      </w:r>
      <w:r>
        <w:rPr>
          <w:rStyle w:val="Appelnotedebasdep"/>
          <w:rFonts w:cs="Simplified Arabic"/>
          <w:sz w:val="28"/>
          <w:szCs w:val="28"/>
          <w:rtl/>
          <w:lang w:val="fr-FR"/>
        </w:rPr>
        <w:footnoteReference w:customMarkFollows="1" w:id="3"/>
        <w:t>( 122 )</w:t>
      </w:r>
      <w:r>
        <w:rPr>
          <w:rFonts w:cs="Simplified Arabic" w:hint="cs"/>
          <w:sz w:val="28"/>
          <w:szCs w:val="28"/>
          <w:rtl/>
          <w:lang w:val="fr-FR"/>
        </w:rPr>
        <w:t xml:space="preserve"> . إنّ المؤكّد عند </w:t>
      </w:r>
      <w:proofErr w:type="spellStart"/>
      <w:r>
        <w:rPr>
          <w:rFonts w:cs="Simplified Arabic" w:hint="cs"/>
          <w:sz w:val="28"/>
          <w:szCs w:val="28"/>
          <w:rtl/>
          <w:lang w:val="fr-FR"/>
        </w:rPr>
        <w:t>ياوس</w:t>
      </w:r>
      <w:proofErr w:type="spellEnd"/>
      <w:r>
        <w:rPr>
          <w:rFonts w:cs="Simplified Arabic" w:hint="cs"/>
          <w:sz w:val="28"/>
          <w:szCs w:val="28"/>
          <w:rtl/>
          <w:lang w:val="fr-FR"/>
        </w:rPr>
        <w:t xml:space="preserve"> هو أنّ مثل هذه الأعمال التي تُقلّصُ المسافة الجمالية بينها و بين قرائها ليس من شأنها أن تدفع إلى تغيير في </w:t>
      </w:r>
      <w:proofErr w:type="gramStart"/>
      <w:r>
        <w:rPr>
          <w:rFonts w:cs="Simplified Arabic" w:hint="cs"/>
          <w:sz w:val="28"/>
          <w:szCs w:val="28"/>
          <w:rtl/>
          <w:lang w:val="fr-FR"/>
        </w:rPr>
        <w:t>الأفق ،</w:t>
      </w:r>
      <w:proofErr w:type="gramEnd"/>
      <w:r>
        <w:rPr>
          <w:rFonts w:cs="Simplified Arabic" w:hint="cs"/>
          <w:sz w:val="28"/>
          <w:szCs w:val="28"/>
          <w:rtl/>
          <w:lang w:val="fr-FR"/>
        </w:rPr>
        <w:t xml:space="preserve"> و لا أن تستبدل المعايير  الجديدة بالمعايير القديمة و المتداولة ، بل بالعكس ، تستجيب بصورة أكبر إلى التوقّع المشاع و المفروض من طرف تعاليم الذوق السائد </w:t>
      </w:r>
      <w:r>
        <w:rPr>
          <w:rStyle w:val="Appelnotedebasdep"/>
          <w:rFonts w:cs="Simplified Arabic"/>
          <w:sz w:val="28"/>
          <w:szCs w:val="28"/>
          <w:rtl/>
          <w:lang w:val="fr-FR"/>
        </w:rPr>
        <w:footnoteReference w:customMarkFollows="1" w:id="4"/>
        <w:t>( 123 )</w:t>
      </w:r>
      <w:r>
        <w:rPr>
          <w:rFonts w:cs="Simplified Arabic" w:hint="cs"/>
          <w:sz w:val="28"/>
          <w:szCs w:val="28"/>
          <w:rtl/>
          <w:lang w:val="fr-FR"/>
        </w:rPr>
        <w:t xml:space="preserve"> .</w:t>
      </w:r>
    </w:p>
    <w:p w14:paraId="6CCDEF5C" w14:textId="77777777" w:rsidR="009C0FD1" w:rsidRDefault="009C0FD1" w:rsidP="009C0FD1">
      <w:pPr>
        <w:spacing w:before="120" w:after="24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  <w:lang w:val="fr-FR"/>
        </w:rPr>
        <w:t xml:space="preserve">    و يستطرد </w:t>
      </w:r>
      <w:proofErr w:type="spellStart"/>
      <w:r>
        <w:rPr>
          <w:rFonts w:cs="Simplified Arabic" w:hint="cs"/>
          <w:sz w:val="28"/>
          <w:szCs w:val="28"/>
          <w:rtl/>
          <w:lang w:val="fr-FR"/>
        </w:rPr>
        <w:t>ياوس</w:t>
      </w:r>
      <w:proofErr w:type="spellEnd"/>
      <w:r>
        <w:rPr>
          <w:rFonts w:cs="Simplified Arabic" w:hint="cs"/>
          <w:sz w:val="28"/>
          <w:szCs w:val="28"/>
          <w:rtl/>
          <w:lang w:val="fr-FR"/>
        </w:rPr>
        <w:t xml:space="preserve"> في طرح إشكالية أو فرضية إعادة بناء </w:t>
      </w:r>
      <w:r>
        <w:rPr>
          <w:sz w:val="28"/>
          <w:szCs w:val="28"/>
        </w:rPr>
        <w:t>Reconstitution</w:t>
      </w:r>
      <w:r>
        <w:rPr>
          <w:rFonts w:cs="Simplified Arabic" w:hint="cs"/>
          <w:sz w:val="28"/>
          <w:szCs w:val="28"/>
          <w:rtl/>
        </w:rPr>
        <w:t xml:space="preserve"> أفق التوقّع بالصورة التي تمّ بها تأليف العمل و كذا تلقيه سابقا ، فإعادة بناء هذا الأفق تسمح بطرح الأسئلة التي أجاب عليها العمل لحظة  ظهوره ، و البحث عن الكيفية التي فهم بها القارئ هذا العمل ،     و لكي يتسنّّى لنا هذا المجهود يجب أن نبعد التأثير اللاواعي الذي تمارسه معايير الفهم القديم      أو الحديث على الحكم الجمالي في الفنّ ، يجب أن نكشف عن الفرق </w:t>
      </w:r>
      <w:proofErr w:type="spellStart"/>
      <w:r>
        <w:rPr>
          <w:rFonts w:cs="Simplified Arabic" w:hint="cs"/>
          <w:sz w:val="28"/>
          <w:szCs w:val="28"/>
          <w:rtl/>
        </w:rPr>
        <w:t>الهيرمينوطيقي</w:t>
      </w:r>
      <w:proofErr w:type="spellEnd"/>
      <w:r>
        <w:rPr>
          <w:rFonts w:cs="Simplified Arabic" w:hint="cs"/>
          <w:sz w:val="28"/>
          <w:szCs w:val="28"/>
          <w:rtl/>
        </w:rPr>
        <w:t xml:space="preserve"> بين الحاضر  و الماضي داخل معنى العمل ، حيث يمكننا أن نعيَ تاريخ تلقيه الذي يؤسّس الرابط بين      الأفقين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5"/>
        <w:t>( 124 )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14:paraId="33649788" w14:textId="77777777" w:rsidR="009C0FD1" w:rsidRDefault="009C0FD1" w:rsidP="009C0FD1">
      <w:pPr>
        <w:spacing w:before="120" w:after="24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و لم يُخف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إفادته من سلسلة كبيرة من الأفكار و المناقشات التي قدّمها رائد فلسفة التأويل </w:t>
      </w:r>
      <w:proofErr w:type="spellStart"/>
      <w:r>
        <w:rPr>
          <w:rFonts w:cs="Simplified Arabic" w:hint="cs"/>
          <w:sz w:val="28"/>
          <w:szCs w:val="28"/>
          <w:rtl/>
        </w:rPr>
        <w:t>غادمير</w:t>
      </w:r>
      <w:proofErr w:type="spellEnd"/>
      <w:r>
        <w:rPr>
          <w:rFonts w:cs="Simplified Arabic" w:hint="cs"/>
          <w:sz w:val="28"/>
          <w:szCs w:val="28"/>
          <w:rtl/>
        </w:rPr>
        <w:t xml:space="preserve"> ، ضمن كتابه ( الحقيقة و المنهج ) </w:t>
      </w:r>
      <w:proofErr w:type="spellStart"/>
      <w:r>
        <w:rPr>
          <w:sz w:val="28"/>
          <w:szCs w:val="28"/>
        </w:rPr>
        <w:t>Vérité</w:t>
      </w:r>
      <w:proofErr w:type="spellEnd"/>
      <w:r>
        <w:rPr>
          <w:sz w:val="28"/>
          <w:szCs w:val="28"/>
        </w:rPr>
        <w:t xml:space="preserve"> et </w:t>
      </w:r>
      <w:r>
        <w:rPr>
          <w:sz w:val="28"/>
          <w:szCs w:val="28"/>
          <w:lang w:val="fr-FR"/>
        </w:rPr>
        <w:t>M</w:t>
      </w:r>
      <w:proofErr w:type="spellStart"/>
      <w:r>
        <w:rPr>
          <w:sz w:val="28"/>
          <w:szCs w:val="28"/>
        </w:rPr>
        <w:t>éthode</w:t>
      </w:r>
      <w:proofErr w:type="spellEnd"/>
      <w:r>
        <w:rPr>
          <w:rFonts w:cs="Simplified Arabic" w:hint="cs"/>
          <w:sz w:val="28"/>
          <w:szCs w:val="28"/>
          <w:rtl/>
        </w:rPr>
        <w:t xml:space="preserve"> ، حيث يعرض هذا الأخير فكرة </w:t>
      </w:r>
      <w:r>
        <w:rPr>
          <w:rFonts w:cs="Simplified Arabic" w:hint="cs"/>
          <w:sz w:val="28"/>
          <w:szCs w:val="28"/>
          <w:rtl/>
        </w:rPr>
        <w:lastRenderedPageBreak/>
        <w:t xml:space="preserve">( تاريخ التأثيرات ) ، و هي الفكرة التي تبحث في حقيقة التاريخ بفهم التاريخ ذاته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6"/>
        <w:t>( 125 )</w:t>
      </w:r>
      <w:r>
        <w:rPr>
          <w:rFonts w:cs="Simplified Arabic" w:hint="cs"/>
          <w:sz w:val="28"/>
          <w:szCs w:val="28"/>
          <w:rtl/>
        </w:rPr>
        <w:t xml:space="preserve"> ، أي بتطبيق منطق السؤال و الجواب على التراث التاريخي ، و الواقع أنّ </w:t>
      </w:r>
      <w:proofErr w:type="spellStart"/>
      <w:r>
        <w:rPr>
          <w:rFonts w:cs="Simplified Arabic" w:hint="cs"/>
          <w:sz w:val="28"/>
          <w:szCs w:val="28"/>
          <w:rtl/>
        </w:rPr>
        <w:t>غادمير</w:t>
      </w:r>
      <w:proofErr w:type="spellEnd"/>
      <w:r>
        <w:rPr>
          <w:rFonts w:cs="Simplified Arabic" w:hint="cs"/>
          <w:sz w:val="28"/>
          <w:szCs w:val="28"/>
          <w:rtl/>
        </w:rPr>
        <w:t xml:space="preserve"> بدوره أخذ الفكرة عن </w:t>
      </w:r>
      <w:proofErr w:type="spellStart"/>
      <w:r>
        <w:rPr>
          <w:rFonts w:cs="Simplified Arabic" w:hint="cs"/>
          <w:sz w:val="28"/>
          <w:szCs w:val="28"/>
          <w:rtl/>
        </w:rPr>
        <w:t>كولنوود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Collinwood</w:t>
      </w:r>
      <w:r>
        <w:rPr>
          <w:rFonts w:cs="Simplified Arabic" w:hint="cs"/>
          <w:sz w:val="28"/>
          <w:szCs w:val="28"/>
          <w:rtl/>
        </w:rPr>
        <w:t xml:space="preserve"> حول إمكانية فهم العمل أو النصّ المشروط بفهم السؤال الذي حاول هذا العمل أن يجيب عليه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7"/>
        <w:t>( 126 )</w:t>
      </w:r>
      <w:r>
        <w:rPr>
          <w:rFonts w:cs="Simplified Arabic" w:hint="cs"/>
          <w:sz w:val="28"/>
          <w:szCs w:val="28"/>
          <w:rtl/>
        </w:rPr>
        <w:t xml:space="preserve"> ؛ غير أنّنا ، حسب تصوّر </w:t>
      </w:r>
      <w:proofErr w:type="spellStart"/>
      <w:r>
        <w:rPr>
          <w:rFonts w:cs="Simplified Arabic" w:hint="cs"/>
          <w:sz w:val="28"/>
          <w:szCs w:val="28"/>
          <w:rtl/>
        </w:rPr>
        <w:t>غادمير</w:t>
      </w:r>
      <w:proofErr w:type="spellEnd"/>
      <w:r>
        <w:rPr>
          <w:rFonts w:cs="Simplified Arabic" w:hint="cs"/>
          <w:sz w:val="28"/>
          <w:szCs w:val="28"/>
          <w:rtl/>
        </w:rPr>
        <w:t xml:space="preserve"> ، لا يمكننا أن نعيد إنشاء السؤال بالصفة التي ظهر بها داخل أفقه الخاص ، ذلك أنّ هذا المسعى يتضمّن إقحام أفقنا الحاضر أيضا ، و يصبح السؤال بهذا الشكل نقطة تجمع بين الأفقين ( الماضي و الحاضر ) و هذا ما اصطلح عليه </w:t>
      </w:r>
      <w:proofErr w:type="spellStart"/>
      <w:r>
        <w:rPr>
          <w:rFonts w:cs="Simplified Arabic" w:hint="cs"/>
          <w:sz w:val="28"/>
          <w:szCs w:val="28"/>
          <w:rtl/>
        </w:rPr>
        <w:t>غادمير</w:t>
      </w:r>
      <w:proofErr w:type="spellEnd"/>
      <w:r>
        <w:rPr>
          <w:rFonts w:cs="Simplified Arabic" w:hint="cs"/>
          <w:sz w:val="28"/>
          <w:szCs w:val="28"/>
          <w:rtl/>
        </w:rPr>
        <w:t xml:space="preserve"> بــ : اندماج أو انصهار الآفاق </w:t>
      </w:r>
      <w:r>
        <w:rPr>
          <w:sz w:val="28"/>
          <w:szCs w:val="28"/>
        </w:rPr>
        <w:t>Fusion des Horizons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8"/>
        <w:t>( 127 )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14:paraId="351600AB" w14:textId="77777777" w:rsidR="009C0FD1" w:rsidRDefault="009C0FD1" w:rsidP="009C0FD1">
      <w:pPr>
        <w:spacing w:before="120" w:after="24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إنّ إعادة تشكيل السؤال في أصله يطرح فرضية أخرى تتعلّق بإمكانية تقييم العمل الأدبي الذي جاءنا من التراث بالمنظور الحاضر ، أو باستخدام ما أسماه </w:t>
      </w:r>
      <w:proofErr w:type="spellStart"/>
      <w:r>
        <w:rPr>
          <w:rFonts w:cs="Simplified Arabic" w:hint="cs"/>
          <w:sz w:val="28"/>
          <w:szCs w:val="28"/>
          <w:rtl/>
        </w:rPr>
        <w:t>رنيه</w:t>
      </w:r>
      <w:proofErr w:type="spellEnd"/>
      <w:r>
        <w:rPr>
          <w:rFonts w:cs="Simplified Arabic" w:hint="cs"/>
          <w:sz w:val="28"/>
          <w:szCs w:val="28"/>
          <w:rtl/>
        </w:rPr>
        <w:t xml:space="preserve"> وليك </w:t>
      </w:r>
      <w:r>
        <w:rPr>
          <w:sz w:val="28"/>
          <w:szCs w:val="28"/>
        </w:rPr>
        <w:t>R .</w:t>
      </w:r>
      <w:proofErr w:type="spellStart"/>
      <w:r>
        <w:rPr>
          <w:sz w:val="28"/>
          <w:szCs w:val="28"/>
        </w:rPr>
        <w:t>Wellek</w:t>
      </w:r>
      <w:proofErr w:type="spellEnd"/>
      <w:r>
        <w:rPr>
          <w:rFonts w:ascii="Arb Times New Roman" w:hAnsi="Arb Times New Roman"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بــ : حكم القرون </w:t>
      </w:r>
      <w:proofErr w:type="spellStart"/>
      <w:r>
        <w:rPr>
          <w:sz w:val="28"/>
          <w:szCs w:val="28"/>
        </w:rPr>
        <w:t>Jujement</w:t>
      </w:r>
      <w:proofErr w:type="spellEnd"/>
      <w:r>
        <w:rPr>
          <w:sz w:val="28"/>
          <w:szCs w:val="28"/>
        </w:rPr>
        <w:t xml:space="preserve"> des </w:t>
      </w:r>
      <w:proofErr w:type="spellStart"/>
      <w:r>
        <w:rPr>
          <w:sz w:val="28"/>
          <w:szCs w:val="28"/>
        </w:rPr>
        <w:t>siécles</w:t>
      </w:r>
      <w:proofErr w:type="spellEnd"/>
      <w:r>
        <w:rPr>
          <w:sz w:val="28"/>
          <w:szCs w:val="28"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9"/>
        <w:t>( 128 )</w:t>
      </w:r>
      <w:r>
        <w:rPr>
          <w:rFonts w:cs="Simplified Arabic" w:hint="cs"/>
          <w:sz w:val="28"/>
          <w:szCs w:val="28"/>
          <w:rtl/>
        </w:rPr>
        <w:t xml:space="preserve">   ، وهي جملة الأحكام التي أنتجتها الممارسـات النقدية  السابقة ، لذلك فإنّه ، تعزيزا لما قال به </w:t>
      </w:r>
      <w:proofErr w:type="spellStart"/>
      <w:r>
        <w:rPr>
          <w:rFonts w:cs="Simplified Arabic" w:hint="cs"/>
          <w:sz w:val="28"/>
          <w:szCs w:val="28"/>
          <w:rtl/>
        </w:rPr>
        <w:t>غادمير</w:t>
      </w:r>
      <w:proofErr w:type="spellEnd"/>
      <w:r>
        <w:rPr>
          <w:rFonts w:cs="Simplified Arabic" w:hint="cs"/>
          <w:sz w:val="28"/>
          <w:szCs w:val="28"/>
          <w:rtl/>
        </w:rPr>
        <w:t xml:space="preserve"> حول إقحام أفق الحاضر في بناء سؤال الماضي ، لا يمكن أن نعيد تشكيل هذا السـؤال و نحن نعزل آفاقنا بكلّ موضوعية ، يقـول </w:t>
      </w:r>
      <w:proofErr w:type="spellStart"/>
      <w:r>
        <w:rPr>
          <w:rFonts w:cs="Simplified Arabic" w:hint="cs"/>
          <w:sz w:val="28"/>
          <w:szCs w:val="28"/>
          <w:rtl/>
        </w:rPr>
        <w:t>رنيه</w:t>
      </w:r>
      <w:proofErr w:type="spellEnd"/>
      <w:r>
        <w:rPr>
          <w:rFonts w:cs="Simplified Arabic" w:hint="cs"/>
          <w:sz w:val="28"/>
          <w:szCs w:val="28"/>
          <w:rtl/>
        </w:rPr>
        <w:t xml:space="preserve"> وليك :   (( من المستحيل أن نكفّ عن كوننا أناسا نعيش في القرن العشرين حين ننشغل بالحكم على الماضي ))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10"/>
        <w:t>( 129 )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14:paraId="282465CE" w14:textId="77777777" w:rsidR="009C0FD1" w:rsidRDefault="009C0FD1" w:rsidP="009C0FD1">
      <w:pPr>
        <w:spacing w:before="120" w:after="24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لقد حاول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أن يؤسّس لتاريخ أدبي يرتكز على جمالية التلقّـي </w:t>
      </w:r>
      <w:proofErr w:type="spellStart"/>
      <w:r>
        <w:rPr>
          <w:sz w:val="28"/>
          <w:szCs w:val="28"/>
        </w:rPr>
        <w:t>ésthétique</w:t>
      </w:r>
      <w:proofErr w:type="spellEnd"/>
      <w:r>
        <w:rPr>
          <w:sz w:val="28"/>
          <w:szCs w:val="28"/>
        </w:rPr>
        <w:t xml:space="preserve"> de la </w:t>
      </w:r>
      <w:proofErr w:type="spellStart"/>
      <w:proofErr w:type="gramStart"/>
      <w:r>
        <w:rPr>
          <w:sz w:val="28"/>
          <w:szCs w:val="28"/>
        </w:rPr>
        <w:t>réception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،</w:t>
      </w:r>
      <w:proofErr w:type="gramEnd"/>
      <w:r>
        <w:rPr>
          <w:rFonts w:cs="Simplified Arabic" w:hint="cs"/>
          <w:sz w:val="28"/>
          <w:szCs w:val="28"/>
          <w:rtl/>
        </w:rPr>
        <w:t xml:space="preserve"> منتقدا بذلك فكرة ( تاريخ التأثيرات ) الذي اعتمده </w:t>
      </w:r>
      <w:proofErr w:type="spellStart"/>
      <w:r>
        <w:rPr>
          <w:rFonts w:cs="Simplified Arabic" w:hint="cs"/>
          <w:sz w:val="28"/>
          <w:szCs w:val="28"/>
          <w:rtl/>
        </w:rPr>
        <w:t>غادمير</w:t>
      </w:r>
      <w:proofErr w:type="spellEnd"/>
      <w:r>
        <w:rPr>
          <w:rFonts w:cs="Simplified Arabic" w:hint="cs"/>
          <w:sz w:val="28"/>
          <w:szCs w:val="28"/>
          <w:rtl/>
        </w:rPr>
        <w:t xml:space="preserve"> ، و هو يعني به تاريخ الأعمال الكلاسيكية الشهيرة التي يمكن أن تكون حلقة واصلة بين الماضي و الحاضر دون الحاجة إلى إعادة تشكيل الأسئلة التي أجابت عليها هذه الأعمال ، يقول </w:t>
      </w:r>
      <w:proofErr w:type="spellStart"/>
      <w:r>
        <w:rPr>
          <w:rFonts w:cs="Simplified Arabic" w:hint="cs"/>
          <w:sz w:val="28"/>
          <w:szCs w:val="28"/>
          <w:rtl/>
        </w:rPr>
        <w:t>غادمير</w:t>
      </w:r>
      <w:proofErr w:type="spellEnd"/>
      <w:r>
        <w:rPr>
          <w:rFonts w:cs="Simplified Arabic" w:hint="cs"/>
          <w:sz w:val="28"/>
          <w:szCs w:val="28"/>
          <w:rtl/>
        </w:rPr>
        <w:t xml:space="preserve"> : (( إنّ الذي نسميه كلاسيكيا ، ليس بحاجة </w:t>
      </w:r>
      <w:r>
        <w:rPr>
          <w:rFonts w:cs="Simplified Arabic"/>
          <w:sz w:val="28"/>
          <w:szCs w:val="28"/>
          <w:rtl/>
        </w:rPr>
        <w:t>–</w:t>
      </w:r>
      <w:r>
        <w:rPr>
          <w:rFonts w:cs="Simplified Arabic" w:hint="cs"/>
          <w:sz w:val="28"/>
          <w:szCs w:val="28"/>
          <w:rtl/>
        </w:rPr>
        <w:t xml:space="preserve"> كخطوة أولى </w:t>
      </w:r>
      <w:r>
        <w:rPr>
          <w:rFonts w:cs="Simplified Arabic"/>
          <w:sz w:val="28"/>
          <w:szCs w:val="28"/>
          <w:rtl/>
        </w:rPr>
        <w:t>–</w:t>
      </w:r>
      <w:r>
        <w:rPr>
          <w:rFonts w:cs="Simplified Arabic" w:hint="cs"/>
          <w:sz w:val="28"/>
          <w:szCs w:val="28"/>
          <w:rtl/>
        </w:rPr>
        <w:t xml:space="preserve"> بأن يعلن انتصاره على المسافة التاريخية ، إنّه يحمل معه دائما تفوّقه على هذه المسافة داخل وساطته الثابتة ))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11"/>
        <w:t>( 130 )</w:t>
      </w:r>
      <w:r>
        <w:rPr>
          <w:rFonts w:cs="Simplified Arabic" w:hint="cs"/>
          <w:sz w:val="28"/>
          <w:szCs w:val="28"/>
          <w:rtl/>
        </w:rPr>
        <w:t xml:space="preserve"> . إنّ هذا التصوّر </w:t>
      </w:r>
      <w:proofErr w:type="spellStart"/>
      <w:r>
        <w:rPr>
          <w:rFonts w:cs="Simplified Arabic" w:hint="cs"/>
          <w:sz w:val="28"/>
          <w:szCs w:val="28"/>
          <w:rtl/>
        </w:rPr>
        <w:t>التشريفي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الذي شكله </w:t>
      </w:r>
      <w:proofErr w:type="spellStart"/>
      <w:r>
        <w:rPr>
          <w:rFonts w:cs="Simplified Arabic" w:hint="cs"/>
          <w:sz w:val="28"/>
          <w:szCs w:val="28"/>
          <w:rtl/>
        </w:rPr>
        <w:t>غادمير</w:t>
      </w:r>
      <w:proofErr w:type="spellEnd"/>
      <w:r>
        <w:rPr>
          <w:rFonts w:cs="Simplified Arabic" w:hint="cs"/>
          <w:sz w:val="28"/>
          <w:szCs w:val="28"/>
          <w:rtl/>
        </w:rPr>
        <w:t xml:space="preserve"> حول الأعمال الكلاسيكية قد أوقع صاحبه في حلقة من التناقض ، ما دامت هذه الأعمال ليست بحاجة إلى أن يعاد تشكيل الأسئلة التي أجابت عليها ، و أنّها أعمال قادرة على أن تجيب على أسئلة كلّ عصر و مرحلة ، و بالتالي يتراجع منطق السؤال و الجواب الذي يُفترض أن يكون قاعدة لتشكيل التراث التاريخي أيضا يقول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: (( إنّ هذا التحديد من </w:t>
      </w:r>
      <w:proofErr w:type="spellStart"/>
      <w:r>
        <w:rPr>
          <w:rFonts w:cs="Simplified Arabic" w:hint="cs"/>
          <w:sz w:val="28"/>
          <w:szCs w:val="28"/>
          <w:rtl/>
        </w:rPr>
        <w:t>غادمير</w:t>
      </w:r>
      <w:proofErr w:type="spellEnd"/>
      <w:r>
        <w:rPr>
          <w:rFonts w:cs="Simplified Arabic" w:hint="cs"/>
          <w:sz w:val="28"/>
          <w:szCs w:val="28"/>
          <w:rtl/>
        </w:rPr>
        <w:t xml:space="preserve"> سيبطل العلاقة بين السؤال </w:t>
      </w:r>
      <w:r>
        <w:rPr>
          <w:rFonts w:cs="Simplified Arabic" w:hint="cs"/>
          <w:sz w:val="28"/>
          <w:szCs w:val="28"/>
          <w:rtl/>
        </w:rPr>
        <w:lastRenderedPageBreak/>
        <w:t xml:space="preserve">و الجواب، و التي يتأسّس كلّ تراث تاريخي انطلاقا منها ))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12"/>
        <w:t>( 131 )</w:t>
      </w:r>
      <w:r>
        <w:rPr>
          <w:rFonts w:cs="Simplified Arabic" w:hint="cs"/>
          <w:sz w:val="28"/>
          <w:szCs w:val="28"/>
          <w:rtl/>
        </w:rPr>
        <w:t xml:space="preserve"> ، لذلك فإنّ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ينفي صفة التشريف و الإجازة عن هذه الأعمال التي تسمى كـلاسيكية ، و أنّ كونها أعمالا رائعة أو خـالدة </w:t>
      </w:r>
      <w:r>
        <w:rPr>
          <w:sz w:val="28"/>
          <w:szCs w:val="28"/>
        </w:rPr>
        <w:t>Chef - d'</w:t>
      </w:r>
      <w:proofErr w:type="spellStart"/>
      <w:r>
        <w:rPr>
          <w:sz w:val="28"/>
          <w:szCs w:val="28"/>
          <w:lang w:val="fr-FR"/>
        </w:rPr>
        <w:t>oevre</w:t>
      </w:r>
      <w:proofErr w:type="spellEnd"/>
      <w:r>
        <w:rPr>
          <w:rFonts w:cs="Simplified Arabic" w:hint="cs"/>
          <w:sz w:val="28"/>
          <w:szCs w:val="28"/>
          <w:rtl/>
        </w:rPr>
        <w:t xml:space="preserve"> لا يمنع الوعي المتلقي بأن يكتشف درجة العلاقة بين النصّ    و زماننا الحاضر ، وفق أفق هذا الزمان  بالذات ، و انطلاقا من الخاصية الفنّية للعمل ، التي تلازمه كشكل فنّي عبر مختلف مراحل التلقي التاريخي ، و بالتالي تصبح الخاصية الفنّية للعمل هي وجه الظهور لهذا العمل بالذات عبر كلّ لقاء بينه و بين المتلقي ، حتىّ و لو كان هذا العمل كلاسيكيا قادمًا من التراث المثالي الذي قال به </w:t>
      </w:r>
      <w:proofErr w:type="spellStart"/>
      <w:r>
        <w:rPr>
          <w:rFonts w:cs="Simplified Arabic" w:hint="cs"/>
          <w:sz w:val="28"/>
          <w:szCs w:val="28"/>
          <w:rtl/>
        </w:rPr>
        <w:t>غادمير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13"/>
        <w:t>( 132 )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14:paraId="176266D5" w14:textId="77777777" w:rsidR="009C0FD1" w:rsidRDefault="009C0FD1" w:rsidP="009C0FD1">
      <w:pPr>
        <w:spacing w:before="120" w:after="240"/>
        <w:jc w:val="lowKashida"/>
        <w:rPr>
          <w:rFonts w:cs="Simplified Arabic"/>
          <w:sz w:val="28"/>
          <w:szCs w:val="28"/>
          <w:lang w:val="fr-FR"/>
        </w:rPr>
      </w:pPr>
      <w:r>
        <w:rPr>
          <w:rFonts w:cs="Simplified Arabic" w:hint="cs"/>
          <w:sz w:val="28"/>
          <w:szCs w:val="28"/>
          <w:rtl/>
        </w:rPr>
        <w:t xml:space="preserve">    </w:t>
      </w:r>
    </w:p>
    <w:p w14:paraId="350FA86F" w14:textId="77777777" w:rsidR="009C0FD1" w:rsidRPr="001174E7" w:rsidRDefault="009C0FD1" w:rsidP="009C0FD1">
      <w:pPr>
        <w:rPr>
          <w:lang w:val="fr-FR"/>
        </w:rPr>
      </w:pPr>
    </w:p>
    <w:p w14:paraId="6BA55B64" w14:textId="77777777" w:rsidR="007C28B6" w:rsidRPr="009C0FD1" w:rsidRDefault="007C28B6">
      <w:pPr>
        <w:rPr>
          <w:lang w:val="fr-FR"/>
        </w:rPr>
      </w:pPr>
    </w:p>
    <w:sectPr w:rsidR="007C28B6" w:rsidRPr="009C0F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/>
      <w:pgMar w:top="1701" w:right="1985" w:bottom="1440" w:left="1134" w:header="709" w:footer="0" w:gutter="0"/>
      <w:pgNumType w:start="2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E7FCB" w14:textId="77777777" w:rsidR="00116EA4" w:rsidRDefault="00116EA4" w:rsidP="009C0FD1">
      <w:r>
        <w:separator/>
      </w:r>
    </w:p>
  </w:endnote>
  <w:endnote w:type="continuationSeparator" w:id="0">
    <w:p w14:paraId="15558B43" w14:textId="77777777" w:rsidR="00116EA4" w:rsidRDefault="00116EA4" w:rsidP="009C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b Times New Roman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B73C" w14:textId="77777777" w:rsidR="00587234" w:rsidRDefault="00000000">
    <w:pPr>
      <w:pStyle w:val="Pieddepage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8325" w14:textId="77777777" w:rsidR="00587234" w:rsidRDefault="00000000">
    <w:pPr>
      <w:pStyle w:val="Pieddepage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86C1B" w14:textId="77777777" w:rsidR="00587234" w:rsidRDefault="00000000">
    <w:pPr>
      <w:pStyle w:val="Pieddepage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D2F3" w14:textId="77777777" w:rsidR="00116EA4" w:rsidRDefault="00116EA4" w:rsidP="009C0FD1">
      <w:r>
        <w:separator/>
      </w:r>
    </w:p>
  </w:footnote>
  <w:footnote w:type="continuationSeparator" w:id="0">
    <w:p w14:paraId="36AFB4E9" w14:textId="77777777" w:rsidR="00116EA4" w:rsidRDefault="00116EA4" w:rsidP="009C0FD1">
      <w:r>
        <w:continuationSeparator/>
      </w:r>
    </w:p>
  </w:footnote>
  <w:footnote w:id="1">
    <w:p w14:paraId="34BD86DD" w14:textId="77777777" w:rsidR="009C0FD1" w:rsidRDefault="009C0FD1" w:rsidP="009C0FD1">
      <w:pPr>
        <w:rPr>
          <w:sz w:val="22"/>
          <w:szCs w:val="22"/>
          <w:rtl/>
        </w:rPr>
      </w:pPr>
      <w:r>
        <w:rPr>
          <w:rStyle w:val="Appelnotedebasdep"/>
          <w:sz w:val="28"/>
          <w:szCs w:val="28"/>
        </w:rPr>
        <w:t>(</w:t>
      </w:r>
      <w:r>
        <w:rPr>
          <w:rStyle w:val="Appelnotedebasdep"/>
          <w:sz w:val="28"/>
          <w:szCs w:val="28"/>
        </w:rPr>
        <w:sym w:font="Symbol" w:char="F02A"/>
      </w:r>
      <w:r>
        <w:rPr>
          <w:rStyle w:val="Appelnotedebasdep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-  ترجم عزالدين إسماعيل هذا المصطلح </w:t>
      </w:r>
      <w:proofErr w:type="gramStart"/>
      <w:r>
        <w:rPr>
          <w:rFonts w:hint="cs"/>
          <w:sz w:val="22"/>
          <w:szCs w:val="22"/>
          <w:rtl/>
        </w:rPr>
        <w:t>بــ :</w:t>
      </w:r>
      <w:proofErr w:type="gramEnd"/>
      <w:r>
        <w:rPr>
          <w:rFonts w:hint="cs"/>
          <w:sz w:val="22"/>
          <w:szCs w:val="22"/>
          <w:rtl/>
        </w:rPr>
        <w:t xml:space="preserve"> فنّ الطبخ في كتاب ( نظرية التلقي ص 162 . ) </w:t>
      </w:r>
      <w:proofErr w:type="gramStart"/>
      <w:r>
        <w:rPr>
          <w:rFonts w:hint="cs"/>
          <w:sz w:val="22"/>
          <w:szCs w:val="22"/>
          <w:rtl/>
        </w:rPr>
        <w:t>لــ :</w:t>
      </w:r>
      <w:proofErr w:type="gramEnd"/>
      <w:r>
        <w:rPr>
          <w:rFonts w:hint="cs"/>
          <w:sz w:val="22"/>
          <w:szCs w:val="22"/>
          <w:rtl/>
        </w:rPr>
        <w:t xml:space="preserve"> روبرت </w:t>
      </w:r>
      <w:proofErr w:type="spellStart"/>
      <w:r>
        <w:rPr>
          <w:rFonts w:hint="cs"/>
          <w:sz w:val="22"/>
          <w:szCs w:val="22"/>
          <w:rtl/>
        </w:rPr>
        <w:t>هولب</w:t>
      </w:r>
      <w:proofErr w:type="spellEnd"/>
      <w:r>
        <w:rPr>
          <w:rFonts w:hint="cs"/>
          <w:sz w:val="22"/>
          <w:szCs w:val="22"/>
          <w:rtl/>
        </w:rPr>
        <w:t xml:space="preserve"> ،           و الحقيقة أنّ الترجمة المعجمية لهذا المصطلح تعرضه بــ : فنّ الطبخ . غير إنّ </w:t>
      </w:r>
      <w:proofErr w:type="spellStart"/>
      <w:r>
        <w:rPr>
          <w:rFonts w:hint="cs"/>
          <w:sz w:val="22"/>
          <w:szCs w:val="22"/>
          <w:rtl/>
        </w:rPr>
        <w:t>ياوس</w:t>
      </w:r>
      <w:proofErr w:type="spellEnd"/>
      <w:r>
        <w:rPr>
          <w:rFonts w:hint="cs"/>
          <w:sz w:val="22"/>
          <w:szCs w:val="22"/>
          <w:rtl/>
        </w:rPr>
        <w:t xml:space="preserve"> قصد به الفنّ المستهلك </w:t>
      </w:r>
      <w:proofErr w:type="gramStart"/>
      <w:r>
        <w:rPr>
          <w:rFonts w:hint="cs"/>
          <w:sz w:val="22"/>
          <w:szCs w:val="22"/>
          <w:rtl/>
        </w:rPr>
        <w:t>( المألوف</w:t>
      </w:r>
      <w:proofErr w:type="gramEnd"/>
      <w:r>
        <w:rPr>
          <w:rFonts w:hint="cs"/>
          <w:sz w:val="22"/>
          <w:szCs w:val="22"/>
          <w:rtl/>
        </w:rPr>
        <w:t xml:space="preserve"> )  و هي الترجمة السياقية .</w:t>
      </w:r>
    </w:p>
  </w:footnote>
  <w:footnote w:id="2">
    <w:p w14:paraId="65EB8C46" w14:textId="77777777" w:rsidR="009C0FD1" w:rsidRDefault="009C0FD1" w:rsidP="009C0FD1">
      <w:pPr>
        <w:pStyle w:val="Notedebasdepage"/>
        <w:rPr>
          <w:rtl/>
        </w:rPr>
      </w:pPr>
      <w:r>
        <w:rPr>
          <w:rStyle w:val="Appelnotedebasdep"/>
        </w:rPr>
        <w:t>( 121 )</w:t>
      </w:r>
      <w:r>
        <w:t xml:space="preserve"> </w:t>
      </w:r>
      <w:r>
        <w:rPr>
          <w:rFonts w:hint="cs"/>
          <w:rtl/>
        </w:rPr>
        <w:t xml:space="preserve"> -                                                                                                                                   </w:t>
      </w:r>
      <w:proofErr w:type="spellStart"/>
      <w:r>
        <w:rPr>
          <w:sz w:val="22"/>
          <w:szCs w:val="22"/>
        </w:rPr>
        <w:t>Jauss</w:t>
      </w:r>
      <w:proofErr w:type="spellEnd"/>
      <w:r>
        <w:rPr>
          <w:sz w:val="22"/>
          <w:szCs w:val="22"/>
        </w:rPr>
        <w:t xml:space="preserve"> ; IBID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p 53 </w:t>
      </w:r>
    </w:p>
  </w:footnote>
  <w:footnote w:id="3">
    <w:p w14:paraId="187137EB" w14:textId="77777777" w:rsidR="009C0FD1" w:rsidRDefault="009C0FD1" w:rsidP="009C0FD1">
      <w:pPr>
        <w:pStyle w:val="Notedebasdepage"/>
        <w:rPr>
          <w:sz w:val="24"/>
          <w:szCs w:val="24"/>
          <w:rtl/>
          <w:lang w:val="fr-FR"/>
        </w:rPr>
      </w:pPr>
      <w:r>
        <w:rPr>
          <w:rStyle w:val="Appelnotedebasdep"/>
        </w:rPr>
        <w:t>( 122 )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- </w:t>
      </w:r>
      <w:r>
        <w:rPr>
          <w:rFonts w:hint="cs"/>
          <w:sz w:val="22"/>
          <w:szCs w:val="22"/>
          <w:rtl/>
          <w:lang w:val="fr-FR"/>
        </w:rPr>
        <w:t xml:space="preserve">فلسفة </w:t>
      </w:r>
      <w:proofErr w:type="gramStart"/>
      <w:r>
        <w:rPr>
          <w:rFonts w:hint="cs"/>
          <w:sz w:val="22"/>
          <w:szCs w:val="22"/>
          <w:rtl/>
          <w:lang w:val="fr-FR"/>
        </w:rPr>
        <w:t>التأويل ،</w:t>
      </w:r>
      <w:proofErr w:type="gramEnd"/>
      <w:r>
        <w:rPr>
          <w:rFonts w:hint="cs"/>
          <w:sz w:val="22"/>
          <w:szCs w:val="22"/>
          <w:rtl/>
          <w:lang w:val="fr-FR"/>
        </w:rPr>
        <w:t xml:space="preserve"> ص 93 .</w:t>
      </w:r>
    </w:p>
  </w:footnote>
  <w:footnote w:id="4">
    <w:p w14:paraId="4A7AE7B8" w14:textId="77777777" w:rsidR="009C0FD1" w:rsidRDefault="009C0FD1" w:rsidP="009C0FD1">
      <w:pPr>
        <w:pStyle w:val="Notedebasdepage"/>
        <w:jc w:val="lowKashida"/>
        <w:rPr>
          <w:sz w:val="24"/>
          <w:szCs w:val="24"/>
        </w:rPr>
      </w:pPr>
      <w:r>
        <w:rPr>
          <w:rStyle w:val="Appelnotedebasdep"/>
        </w:rPr>
        <w:t>( 123 )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- 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IBID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p 53 </w:t>
      </w:r>
      <w:r>
        <w:rPr>
          <w:sz w:val="24"/>
          <w:szCs w:val="24"/>
        </w:rPr>
        <w:t xml:space="preserve">.                                                                                                                            </w:t>
      </w:r>
    </w:p>
  </w:footnote>
  <w:footnote w:id="5">
    <w:p w14:paraId="68186445" w14:textId="77777777" w:rsidR="009C0FD1" w:rsidRDefault="009C0FD1" w:rsidP="009C0FD1">
      <w:pPr>
        <w:pStyle w:val="Notedebasdepage"/>
        <w:spacing w:before="120"/>
        <w:rPr>
          <w:sz w:val="24"/>
          <w:szCs w:val="24"/>
        </w:rPr>
      </w:pPr>
      <w:r>
        <w:rPr>
          <w:rStyle w:val="Appelnotedebasdep"/>
        </w:rPr>
        <w:t>( 124 )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- </w:t>
      </w:r>
      <w:r>
        <w:rPr>
          <w:sz w:val="22"/>
          <w:szCs w:val="22"/>
        </w:rPr>
        <w:t xml:space="preserve">IBID ; p </w:t>
      </w:r>
      <w:proofErr w:type="gramStart"/>
      <w:r>
        <w:rPr>
          <w:sz w:val="22"/>
          <w:szCs w:val="22"/>
        </w:rPr>
        <w:t>58</w:t>
      </w:r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</w:footnote>
  <w:footnote w:id="6">
    <w:p w14:paraId="0ACB9086" w14:textId="77777777" w:rsidR="009C0FD1" w:rsidRDefault="009C0FD1" w:rsidP="009C0FD1">
      <w:pPr>
        <w:pStyle w:val="Notedebasdepage"/>
        <w:jc w:val="lowKashida"/>
        <w:rPr>
          <w:sz w:val="24"/>
          <w:szCs w:val="24"/>
        </w:rPr>
      </w:pPr>
      <w:r>
        <w:rPr>
          <w:rStyle w:val="Appelnotedebasdep"/>
        </w:rPr>
        <w:t>( 125 )</w:t>
      </w:r>
      <w:r>
        <w:rPr>
          <w:rFonts w:hint="cs"/>
          <w:sz w:val="24"/>
          <w:szCs w:val="24"/>
          <w:rtl/>
        </w:rPr>
        <w:t xml:space="preserve"> -  </w:t>
      </w:r>
      <w:proofErr w:type="gramStart"/>
      <w:r>
        <w:rPr>
          <w:rFonts w:hint="cs"/>
          <w:sz w:val="22"/>
          <w:szCs w:val="22"/>
          <w:rtl/>
        </w:rPr>
        <w:t>ينظر :</w:t>
      </w:r>
      <w:proofErr w:type="gramEnd"/>
      <w:r>
        <w:rPr>
          <w:rFonts w:hint="cs"/>
          <w:sz w:val="22"/>
          <w:szCs w:val="22"/>
          <w:rtl/>
        </w:rPr>
        <w:t xml:space="preserve">                                             </w:t>
      </w:r>
      <w:r>
        <w:rPr>
          <w:rFonts w:hint="cs"/>
          <w:sz w:val="24"/>
          <w:szCs w:val="24"/>
          <w:rtl/>
          <w:lang w:val="fr-FR"/>
        </w:rPr>
        <w:t xml:space="preserve">                              </w:t>
      </w:r>
      <w:r>
        <w:rPr>
          <w:sz w:val="24"/>
          <w:szCs w:val="24"/>
          <w:lang w:val="fr-FR"/>
        </w:rPr>
        <w:t xml:space="preserve">, p </w:t>
      </w:r>
      <w:r>
        <w:rPr>
          <w:sz w:val="22"/>
          <w:szCs w:val="22"/>
          <w:lang w:val="fr-FR"/>
        </w:rPr>
        <w:t xml:space="preserve">321. 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sz w:val="22"/>
          <w:szCs w:val="22"/>
          <w:lang w:val="fr-FR"/>
        </w:rPr>
        <w:t>Gadamer</w:t>
      </w:r>
      <w:proofErr w:type="spellEnd"/>
      <w:r>
        <w:rPr>
          <w:sz w:val="22"/>
          <w:szCs w:val="22"/>
          <w:lang w:val="fr-FR"/>
        </w:rPr>
        <w:t xml:space="preserve"> ; vérité et méthode</w:t>
      </w:r>
    </w:p>
  </w:footnote>
  <w:footnote w:id="7">
    <w:p w14:paraId="3E7415E8" w14:textId="77777777" w:rsidR="009C0FD1" w:rsidRDefault="009C0FD1" w:rsidP="009C0FD1">
      <w:pPr>
        <w:pStyle w:val="Notedebasdepage"/>
        <w:rPr>
          <w:rtl/>
        </w:rPr>
      </w:pPr>
      <w:r>
        <w:rPr>
          <w:rStyle w:val="Appelnotedebasdep"/>
        </w:rPr>
        <w:t>( 126 )</w:t>
      </w:r>
      <w:r>
        <w:t xml:space="preserve"> </w:t>
      </w:r>
      <w:r>
        <w:rPr>
          <w:rFonts w:hint="cs"/>
          <w:rtl/>
        </w:rPr>
        <w:t xml:space="preserve"> - </w:t>
      </w:r>
      <w:proofErr w:type="gramStart"/>
      <w:r>
        <w:rPr>
          <w:rFonts w:hint="cs"/>
          <w:sz w:val="22"/>
          <w:szCs w:val="22"/>
          <w:rtl/>
        </w:rPr>
        <w:t>ينظر</w:t>
      </w:r>
      <w:r>
        <w:rPr>
          <w:rFonts w:hint="cs"/>
          <w:rtl/>
        </w:rPr>
        <w:t xml:space="preserve"> </w:t>
      </w:r>
      <w:r>
        <w:rPr>
          <w:rFonts w:hint="cs"/>
          <w:sz w:val="22"/>
          <w:szCs w:val="22"/>
          <w:rtl/>
        </w:rPr>
        <w:t>:</w:t>
      </w:r>
      <w:proofErr w:type="gramEnd"/>
      <w:r>
        <w:rPr>
          <w:rFonts w:hint="cs"/>
          <w:sz w:val="22"/>
          <w:szCs w:val="22"/>
          <w:rtl/>
        </w:rPr>
        <w:t xml:space="preserve">               </w:t>
      </w:r>
      <w:r>
        <w:rPr>
          <w:sz w:val="22"/>
          <w:szCs w:val="22"/>
        </w:rPr>
        <w:t xml:space="preserve"> , P 394 .                                                                                                      </w:t>
      </w:r>
      <w:r>
        <w:rPr>
          <w:rFonts w:hint="cs"/>
          <w:rtl/>
        </w:rPr>
        <w:t xml:space="preserve"> </w:t>
      </w:r>
      <w:r>
        <w:rPr>
          <w:sz w:val="22"/>
          <w:szCs w:val="22"/>
        </w:rPr>
        <w:t>IBID</w:t>
      </w:r>
    </w:p>
  </w:footnote>
  <w:footnote w:id="8">
    <w:p w14:paraId="06794C16" w14:textId="77777777" w:rsidR="009C0FD1" w:rsidRDefault="009C0FD1" w:rsidP="009C0FD1">
      <w:pPr>
        <w:pStyle w:val="Notedebasdepage"/>
        <w:rPr>
          <w:sz w:val="24"/>
          <w:szCs w:val="24"/>
        </w:rPr>
      </w:pPr>
      <w:r>
        <w:rPr>
          <w:rStyle w:val="Appelnotedebasdep"/>
        </w:rPr>
        <w:t>( 127 )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- </w:t>
      </w:r>
      <w:proofErr w:type="gramStart"/>
      <w:r>
        <w:rPr>
          <w:rFonts w:hint="cs"/>
          <w:sz w:val="22"/>
          <w:szCs w:val="22"/>
          <w:rtl/>
        </w:rPr>
        <w:t>ينظر :</w:t>
      </w:r>
      <w:proofErr w:type="gramEnd"/>
      <w:r>
        <w:rPr>
          <w:rFonts w:hint="cs"/>
          <w:sz w:val="24"/>
          <w:szCs w:val="24"/>
          <w:rtl/>
        </w:rPr>
        <w:t xml:space="preserve"> </w:t>
      </w:r>
      <w:r>
        <w:rPr>
          <w:sz w:val="22"/>
          <w:szCs w:val="22"/>
        </w:rPr>
        <w:t>IBID ; p 328</w:t>
      </w:r>
      <w:r>
        <w:rPr>
          <w:sz w:val="24"/>
          <w:szCs w:val="24"/>
        </w:rPr>
        <w:t xml:space="preserve"> .                                                                                                                    </w:t>
      </w:r>
    </w:p>
  </w:footnote>
  <w:footnote w:id="9">
    <w:p w14:paraId="7668A38F" w14:textId="77777777" w:rsidR="009C0FD1" w:rsidRDefault="009C0FD1" w:rsidP="009C0FD1">
      <w:pPr>
        <w:pStyle w:val="Notedebasdepage"/>
        <w:rPr>
          <w:sz w:val="22"/>
          <w:szCs w:val="22"/>
          <w:rtl/>
        </w:rPr>
      </w:pPr>
      <w:r>
        <w:rPr>
          <w:rStyle w:val="Appelnotedebasdep"/>
        </w:rPr>
        <w:t>( 128 )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-  </w:t>
      </w:r>
      <w:proofErr w:type="gramStart"/>
      <w:r>
        <w:rPr>
          <w:rFonts w:hint="cs"/>
          <w:sz w:val="22"/>
          <w:szCs w:val="22"/>
          <w:rtl/>
        </w:rPr>
        <w:t>ينظر :</w:t>
      </w:r>
      <w:proofErr w:type="gramEnd"/>
      <w:r>
        <w:rPr>
          <w:rFonts w:hint="cs"/>
          <w:sz w:val="22"/>
          <w:szCs w:val="22"/>
          <w:rtl/>
        </w:rPr>
        <w:t xml:space="preserve"> </w:t>
      </w:r>
      <w:proofErr w:type="spellStart"/>
      <w:r>
        <w:rPr>
          <w:rFonts w:hint="cs"/>
          <w:sz w:val="22"/>
          <w:szCs w:val="22"/>
          <w:rtl/>
        </w:rPr>
        <w:t>رنيه</w:t>
      </w:r>
      <w:proofErr w:type="spellEnd"/>
      <w:r>
        <w:rPr>
          <w:rFonts w:hint="cs"/>
          <w:sz w:val="22"/>
          <w:szCs w:val="22"/>
          <w:rtl/>
        </w:rPr>
        <w:t xml:space="preserve"> وليك ، أوستين وارين : نظرية الأدب ، ط 2 ، ترجمة : محي الدين صبحي ، المؤسسة العربية للدراسات          و النشر ، بيروت ، 1987 ، ص 46 .</w:t>
      </w:r>
    </w:p>
  </w:footnote>
  <w:footnote w:id="10">
    <w:p w14:paraId="27578E4D" w14:textId="77777777" w:rsidR="009C0FD1" w:rsidRDefault="009C0FD1" w:rsidP="009C0FD1">
      <w:pPr>
        <w:pStyle w:val="Notedebasdepage"/>
        <w:rPr>
          <w:sz w:val="24"/>
          <w:szCs w:val="24"/>
          <w:rtl/>
        </w:rPr>
      </w:pPr>
      <w:r>
        <w:rPr>
          <w:rStyle w:val="Appelnotedebasdep"/>
        </w:rPr>
        <w:t>( 129 )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-  </w:t>
      </w:r>
      <w:r>
        <w:rPr>
          <w:rFonts w:hint="cs"/>
          <w:sz w:val="22"/>
          <w:szCs w:val="22"/>
          <w:rtl/>
        </w:rPr>
        <w:t xml:space="preserve">المرجع </w:t>
      </w:r>
      <w:proofErr w:type="gramStart"/>
      <w:r>
        <w:rPr>
          <w:rFonts w:hint="cs"/>
          <w:sz w:val="22"/>
          <w:szCs w:val="22"/>
          <w:rtl/>
        </w:rPr>
        <w:t>نفسه :</w:t>
      </w:r>
      <w:proofErr w:type="gramEnd"/>
      <w:r>
        <w:rPr>
          <w:rFonts w:hint="cs"/>
          <w:sz w:val="22"/>
          <w:szCs w:val="22"/>
          <w:rtl/>
        </w:rPr>
        <w:t xml:space="preserve"> ص 44 .</w:t>
      </w:r>
    </w:p>
  </w:footnote>
  <w:footnote w:id="11">
    <w:p w14:paraId="64FAE26F" w14:textId="77777777" w:rsidR="009C0FD1" w:rsidRDefault="009C0FD1" w:rsidP="009C0FD1">
      <w:pPr>
        <w:pStyle w:val="Notedebasdepage"/>
        <w:spacing w:after="120"/>
        <w:jc w:val="lowKashida"/>
        <w:rPr>
          <w:sz w:val="24"/>
          <w:szCs w:val="24"/>
          <w:lang w:val="fr-FR"/>
        </w:rPr>
      </w:pPr>
      <w:r>
        <w:rPr>
          <w:rStyle w:val="Appelnotedebasdep"/>
          <w:lang w:val="fr-FR"/>
        </w:rPr>
        <w:t>( 130 )</w:t>
      </w:r>
      <w:r>
        <w:rPr>
          <w:sz w:val="24"/>
          <w:szCs w:val="24"/>
          <w:lang w:val="fr-FR"/>
        </w:rPr>
        <w:t xml:space="preserve"> </w:t>
      </w:r>
      <w:r>
        <w:rPr>
          <w:rFonts w:hint="cs"/>
          <w:sz w:val="24"/>
          <w:szCs w:val="24"/>
          <w:rtl/>
          <w:lang w:val="fr-FR"/>
        </w:rPr>
        <w:t xml:space="preserve"> - </w:t>
      </w:r>
      <w:r>
        <w:rPr>
          <w:sz w:val="22"/>
          <w:szCs w:val="22"/>
          <w:lang w:val="fr-FR"/>
        </w:rPr>
        <w:t>IBID</w:t>
      </w:r>
      <w:r>
        <w:rPr>
          <w:sz w:val="24"/>
          <w:szCs w:val="24"/>
          <w:lang w:val="fr-FR"/>
        </w:rPr>
        <w:t xml:space="preserve">, </w:t>
      </w:r>
      <w:r>
        <w:rPr>
          <w:sz w:val="22"/>
          <w:szCs w:val="22"/>
          <w:lang w:val="fr-FR"/>
        </w:rPr>
        <w:t xml:space="preserve">p </w:t>
      </w:r>
      <w:proofErr w:type="gramStart"/>
      <w:r>
        <w:rPr>
          <w:sz w:val="22"/>
          <w:szCs w:val="22"/>
          <w:lang w:val="fr-FR"/>
        </w:rPr>
        <w:t xml:space="preserve">311 </w:t>
      </w:r>
      <w:r>
        <w:rPr>
          <w:sz w:val="24"/>
          <w:szCs w:val="24"/>
          <w:lang w:val="fr-FR"/>
        </w:rPr>
        <w:t>.</w:t>
      </w:r>
      <w:proofErr w:type="gramEnd"/>
      <w:r>
        <w:rPr>
          <w:sz w:val="24"/>
          <w:szCs w:val="24"/>
          <w:lang w:val="fr-FR"/>
        </w:rPr>
        <w:t xml:space="preserve">                                                                                                                   </w:t>
      </w:r>
    </w:p>
  </w:footnote>
  <w:footnote w:id="12">
    <w:p w14:paraId="07CD9A96" w14:textId="77777777" w:rsidR="009C0FD1" w:rsidRDefault="009C0FD1" w:rsidP="009C0FD1">
      <w:pPr>
        <w:pStyle w:val="Notedebasdepage"/>
        <w:rPr>
          <w:rtl/>
          <w:lang w:val="fr-FR"/>
        </w:rPr>
      </w:pPr>
      <w:r>
        <w:rPr>
          <w:rStyle w:val="Appelnotedebasdep"/>
          <w:lang w:val="fr-FR"/>
        </w:rPr>
        <w:t>( 131 )</w:t>
      </w:r>
      <w:r>
        <w:rPr>
          <w:lang w:val="fr-FR"/>
        </w:rPr>
        <w:t xml:space="preserve"> </w:t>
      </w:r>
      <w:r>
        <w:rPr>
          <w:rFonts w:hint="cs"/>
          <w:rtl/>
          <w:lang w:val="fr-FR"/>
        </w:rPr>
        <w:t xml:space="preserve"> -                 </w:t>
      </w:r>
      <w:r>
        <w:rPr>
          <w:lang w:val="fr-FR"/>
        </w:rPr>
        <w:t xml:space="preserve">.                                                            </w:t>
      </w:r>
      <w:r>
        <w:rPr>
          <w:rFonts w:hint="cs"/>
          <w:rtl/>
          <w:lang w:val="fr-FR"/>
        </w:rPr>
        <w:t xml:space="preserve"> </w:t>
      </w:r>
      <w:r>
        <w:rPr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Jauss</w:t>
      </w:r>
      <w:proofErr w:type="spellEnd"/>
      <w:r>
        <w:rPr>
          <w:sz w:val="22"/>
          <w:szCs w:val="22"/>
          <w:lang w:val="fr-FR"/>
        </w:rPr>
        <w:t xml:space="preserve"> ; pour une </w:t>
      </w:r>
      <w:proofErr w:type="spellStart"/>
      <w:r>
        <w:rPr>
          <w:sz w:val="22"/>
          <w:szCs w:val="22"/>
          <w:lang w:val="fr-FR"/>
        </w:rPr>
        <w:t>ésthétique</w:t>
      </w:r>
      <w:proofErr w:type="spellEnd"/>
      <w:r>
        <w:rPr>
          <w:sz w:val="22"/>
          <w:szCs w:val="22"/>
          <w:lang w:val="fr-FR"/>
        </w:rPr>
        <w:t xml:space="preserve"> de la </w:t>
      </w:r>
      <w:proofErr w:type="gramStart"/>
      <w:r>
        <w:rPr>
          <w:sz w:val="22"/>
          <w:szCs w:val="22"/>
          <w:lang w:val="fr-FR"/>
        </w:rPr>
        <w:t>réception ,</w:t>
      </w:r>
      <w:proofErr w:type="gramEnd"/>
      <w:r>
        <w:rPr>
          <w:sz w:val="22"/>
          <w:szCs w:val="22"/>
          <w:lang w:val="fr-FR"/>
        </w:rPr>
        <w:t xml:space="preserve"> p 61</w:t>
      </w:r>
      <w:r>
        <w:rPr>
          <w:rFonts w:hint="cs"/>
          <w:sz w:val="22"/>
          <w:szCs w:val="22"/>
          <w:rtl/>
          <w:lang w:val="fr-FR"/>
        </w:rPr>
        <w:t xml:space="preserve">        </w:t>
      </w:r>
    </w:p>
  </w:footnote>
  <w:footnote w:id="13">
    <w:p w14:paraId="75B0334C" w14:textId="77777777" w:rsidR="009C0FD1" w:rsidRDefault="009C0FD1" w:rsidP="009C0FD1">
      <w:pPr>
        <w:pStyle w:val="Notedebasdepage"/>
        <w:jc w:val="lowKashida"/>
        <w:rPr>
          <w:rtl/>
        </w:rPr>
      </w:pPr>
      <w:r>
        <w:rPr>
          <w:rStyle w:val="Appelnotedebasdep"/>
        </w:rPr>
        <w:t>( 132 )</w:t>
      </w:r>
      <w:r>
        <w:t xml:space="preserve"> </w:t>
      </w:r>
      <w:r>
        <w:rPr>
          <w:rFonts w:hint="cs"/>
          <w:rtl/>
        </w:rPr>
        <w:t xml:space="preserve"> -  </w:t>
      </w:r>
      <w:proofErr w:type="gramStart"/>
      <w:r>
        <w:rPr>
          <w:rFonts w:hint="cs"/>
          <w:rtl/>
        </w:rPr>
        <w:t>ينظر :</w:t>
      </w:r>
      <w:proofErr w:type="gramEnd"/>
      <w:r>
        <w:rPr>
          <w:rFonts w:hint="cs"/>
          <w:rtl/>
        </w:rPr>
        <w:t xml:space="preserve">                  </w:t>
      </w:r>
      <w:r>
        <w:t xml:space="preserve">, P 61 .                                                                                                                 </w:t>
      </w:r>
      <w:r>
        <w:rPr>
          <w:rFonts w:hint="cs"/>
          <w:rtl/>
        </w:rPr>
        <w:t xml:space="preserve">  </w:t>
      </w:r>
      <w:r>
        <w:rPr>
          <w:sz w:val="22"/>
          <w:szCs w:val="22"/>
        </w:rPr>
        <w:t>IBID</w:t>
      </w:r>
      <w:r>
        <w:rPr>
          <w:rFonts w:hint="cs"/>
          <w:sz w:val="22"/>
          <w:szCs w:val="22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DD67" w14:textId="77777777" w:rsidR="00587234" w:rsidRDefault="00000000">
    <w:pPr>
      <w:pStyle w:val="En-tte"/>
      <w:framePr w:wrap="around" w:vAnchor="text" w:hAnchor="margin" w:xAlign="center" w:y="1"/>
      <w:rPr>
        <w:rStyle w:val="Numrodepage"/>
        <w:rtl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14:paraId="19B67663" w14:textId="77777777" w:rsidR="00587234" w:rsidRDefault="00000000">
    <w:pPr>
      <w:pStyle w:val="En-tte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43D5D" w14:textId="77777777" w:rsidR="00587234" w:rsidRDefault="00000000">
    <w:pPr>
      <w:pStyle w:val="En-tte"/>
      <w:framePr w:wrap="around" w:vAnchor="text" w:hAnchor="margin" w:xAlign="center" w:y="1"/>
      <w:rPr>
        <w:rStyle w:val="Numrodepage"/>
        <w:rtl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separate"/>
    </w:r>
    <w:r>
      <w:rPr>
        <w:rStyle w:val="Numrodepage"/>
        <w:noProof/>
        <w:rtl/>
      </w:rPr>
      <w:t>11</w:t>
    </w:r>
    <w:r>
      <w:rPr>
        <w:rStyle w:val="Numrodepage"/>
        <w:rtl/>
      </w:rPr>
      <w:fldChar w:fldCharType="end"/>
    </w:r>
  </w:p>
  <w:p w14:paraId="52831B76" w14:textId="77777777" w:rsidR="00587234" w:rsidRDefault="00000000">
    <w:pPr>
      <w:pStyle w:val="En-tte"/>
      <w:rPr>
        <w:rtl/>
      </w:rPr>
    </w:pPr>
    <w:r>
      <w:rPr>
        <w:rFonts w:hint="cs"/>
        <w:rtl/>
      </w:rPr>
      <w:t xml:space="preserve">مدخـل                                                                                                  أفق </w:t>
    </w:r>
    <w:proofErr w:type="gramStart"/>
    <w:r>
      <w:rPr>
        <w:rFonts w:hint="cs"/>
        <w:rtl/>
      </w:rPr>
      <w:t>التوقّع :</w:t>
    </w:r>
    <w:proofErr w:type="gramEnd"/>
    <w:r>
      <w:rPr>
        <w:rFonts w:hint="cs"/>
        <w:rtl/>
      </w:rPr>
      <w:t xml:space="preserve"> المرجعية و المفهوم </w:t>
    </w:r>
  </w:p>
  <w:p w14:paraId="0AC14F51" w14:textId="77777777" w:rsidR="00587234" w:rsidRDefault="00000000">
    <w:pPr>
      <w:pStyle w:val="En-tte"/>
      <w:pBdr>
        <w:top w:val="single" w:sz="12" w:space="1" w:color="auto"/>
      </w:pBdr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777E" w14:textId="77777777" w:rsidR="00587234" w:rsidRDefault="00000000">
    <w:pPr>
      <w:pStyle w:val="En-tte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B4"/>
    <w:rsid w:val="00116EA4"/>
    <w:rsid w:val="007C28B6"/>
    <w:rsid w:val="009C0FD1"/>
    <w:rsid w:val="00AF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AA77"/>
  <w15:chartTrackingRefBased/>
  <w15:docId w15:val="{D387C9AA-99AB-4849-9CA7-FC3232D8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F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C0FD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9C0FD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ieddepage">
    <w:name w:val="footer"/>
    <w:basedOn w:val="Normal"/>
    <w:link w:val="PieddepageCar"/>
    <w:rsid w:val="009C0FD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9C0FD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otedebasdepage">
    <w:name w:val="footnote text"/>
    <w:basedOn w:val="Normal"/>
    <w:link w:val="NotedebasdepageCar"/>
    <w:semiHidden/>
    <w:rsid w:val="009C0FD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C0FD1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ppelnotedebasdep">
    <w:name w:val="footnote reference"/>
    <w:basedOn w:val="Policepardfaut"/>
    <w:semiHidden/>
    <w:rsid w:val="009C0FD1"/>
    <w:rPr>
      <w:vertAlign w:val="superscript"/>
    </w:rPr>
  </w:style>
  <w:style w:type="character" w:styleId="Numrodepage">
    <w:name w:val="page number"/>
    <w:basedOn w:val="Policepardfaut"/>
    <w:rsid w:val="009C0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kheiro daiche</dc:creator>
  <cp:keywords/>
  <dc:description/>
  <cp:lastModifiedBy>kheiro daiche</cp:lastModifiedBy>
  <cp:revision>2</cp:revision>
  <dcterms:created xsi:type="dcterms:W3CDTF">2023-01-09T14:28:00Z</dcterms:created>
  <dcterms:modified xsi:type="dcterms:W3CDTF">2023-01-09T14:30:00Z</dcterms:modified>
</cp:coreProperties>
</file>