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D185" w14:textId="77777777" w:rsidR="00876A42" w:rsidRPr="00876A42" w:rsidRDefault="00876A42" w:rsidP="00876A42">
      <w:pPr>
        <w:spacing w:before="120" w:after="240"/>
        <w:jc w:val="lowKashida"/>
        <w:rPr>
          <w:rFonts w:cs="Simplified Arabic"/>
          <w:b/>
          <w:bCs/>
          <w:sz w:val="36"/>
          <w:szCs w:val="36"/>
          <w:rtl/>
        </w:rPr>
      </w:pPr>
      <w:r w:rsidRPr="00876A42">
        <w:rPr>
          <w:rFonts w:cs="Simplified Arabic" w:hint="cs"/>
          <w:b/>
          <w:bCs/>
          <w:sz w:val="36"/>
          <w:szCs w:val="36"/>
          <w:rtl/>
        </w:rPr>
        <w:t xml:space="preserve">   </w:t>
      </w:r>
      <w:r w:rsidRPr="00876A42">
        <w:rPr>
          <w:rFonts w:cs="Simplified Arabic" w:hint="cs"/>
          <w:b/>
          <w:bCs/>
          <w:sz w:val="36"/>
          <w:szCs w:val="36"/>
          <w:rtl/>
        </w:rPr>
        <w:t xml:space="preserve">المحاضرة </w:t>
      </w:r>
      <w:proofErr w:type="gramStart"/>
      <w:r w:rsidRPr="00876A42">
        <w:rPr>
          <w:rFonts w:cs="Simplified Arabic" w:hint="cs"/>
          <w:b/>
          <w:bCs/>
          <w:sz w:val="36"/>
          <w:szCs w:val="36"/>
          <w:rtl/>
        </w:rPr>
        <w:t>3 :</w:t>
      </w:r>
      <w:proofErr w:type="gramEnd"/>
      <w:r w:rsidRPr="00876A42">
        <w:rPr>
          <w:rFonts w:cs="Simplified Arabic" w:hint="cs"/>
          <w:b/>
          <w:bCs/>
          <w:sz w:val="36"/>
          <w:szCs w:val="36"/>
          <w:rtl/>
        </w:rPr>
        <w:t xml:space="preserve"> الخبرة الجمالية للقارئ :</w:t>
      </w:r>
    </w:p>
    <w:p w14:paraId="47EA0461" w14:textId="4915A7F2" w:rsidR="00876A42" w:rsidRDefault="00876A42" w:rsidP="00876A42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إنّ مركز الفرضية النقدية عند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هو الخبرة الأدبية للقارئ ، التي ، بدورها ، تتمحور حول أفق التوقّع </w:t>
      </w:r>
      <w:r>
        <w:rPr>
          <w:sz w:val="28"/>
          <w:szCs w:val="28"/>
        </w:rPr>
        <w:t>Horizon d'</w:t>
      </w:r>
      <w:r>
        <w:rPr>
          <w:sz w:val="28"/>
          <w:szCs w:val="28"/>
          <w:lang w:val="fr-FR"/>
        </w:rPr>
        <w:t>a</w:t>
      </w:r>
      <w:proofErr w:type="spellStart"/>
      <w:r>
        <w:rPr>
          <w:sz w:val="28"/>
          <w:szCs w:val="28"/>
        </w:rPr>
        <w:t>ttente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1"/>
        <w:t>(</w:t>
      </w:r>
      <w:r>
        <w:rPr>
          <w:rStyle w:val="Appelnotedebasdep"/>
          <w:rFonts w:cs="Simplified Arabic"/>
          <w:sz w:val="28"/>
          <w:szCs w:val="28"/>
          <w:rtl/>
        </w:rPr>
        <w:sym w:font="Symbol" w:char="F02A"/>
      </w:r>
      <w:r>
        <w:rPr>
          <w:rStyle w:val="Appelnotedebasdep"/>
          <w:rFonts w:cs="Simplified Arabic"/>
          <w:sz w:val="28"/>
          <w:szCs w:val="28"/>
          <w:rtl/>
        </w:rPr>
        <w:t>)</w:t>
      </w:r>
      <w:r>
        <w:rPr>
          <w:rFonts w:cs="Simplified Arabic" w:hint="cs"/>
          <w:sz w:val="28"/>
          <w:szCs w:val="28"/>
          <w:rtl/>
        </w:rPr>
        <w:t xml:space="preserve"> كمفهوم و كإجراء ، هذه الخبرة التي يعتقد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أنّها بإمكانها أن تتحاشـى النزعة النفسية التي تطبّق الآليات السيكولوجية في تحليلها لاستجابة القـارئ و تحليله للأعمال الأدبية ، و بالتالي فإنّ تحليل الخبرة الأدبية للقارئ تنزع ، بهدف توصيف عملية استقبال العمل و الأثر الذي أحدثه ، إلى إعادة تكوين أفق التوقّع للجمهور الأوّل الذي تلقى العمل ،        أو مجموعة القراء المزامنين لعصر ظهور العمل الأدبي . إنّ الاستقبال و التلقي إذن ، لا يكون من فراغ معرفي أو خبراتي ، و لا يكون في صحراء من المعاني ، بل تغذيه جملة الاستعدادات القرائية للمتلقي و خبراته ، و المعايير السائدة في عصر ظهور العمل ، الأدبية منها و غير الأدبية  كلّ هذا يلخّصه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في مفهوم ( أفق التوقّع ) ، و هو كما يعرضه : (( نظام من المرجعيات المشكلة بصفة موضوعية ، و هو ، مع كلّ عمل في اللحظة التاريخية التي يظهر فيها ، ينشأ من ثلاثة عوامل أساسية : التجربة المسبقة التي اكتسبها الجمهور حول الجنس الذي ينتمي إليه النصّ ، شكل و </w:t>
      </w:r>
      <w:proofErr w:type="spellStart"/>
      <w:r>
        <w:rPr>
          <w:rFonts w:cs="Simplified Arabic" w:hint="cs"/>
          <w:sz w:val="28"/>
          <w:szCs w:val="28"/>
          <w:rtl/>
        </w:rPr>
        <w:t>موضوعاتية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الأعمال السابقة التي يُفترض معرفتها ، و التعارض بين أسلوب اللغة الشعرية و أسلوب اللغة العملية ، العالم الخيالي و الواقع اليومي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2"/>
        <w:t>( 115 )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77B6DC18" w14:textId="77777777" w:rsidR="00876A42" w:rsidRDefault="00876A42" w:rsidP="00876A42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يبدو أنّ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حاول رسم صورة مشروطة للقارئ أو المتلقي الذي يواجه العمل الأدبي ، صورة تنمّ عن دراية و كفاية معرفية هي نتاج خبرات هذا القارئ ، و حدود مراسه في التعامل مع الشكل الأدبي الذي ينتمي إليه العمل ، و المعنى هو الإلمام بجملة المعايير و القيم الفنية و الأدبية التي تصنع إطار الجنس الأدبي الذي يُفترضُ أن تُبدَعَ في ظلّه الأعمال الأدبية ، كما يُفترَضُ أن تُستَقبَلَ ضمن معاييره و قيمه أيضا .إنّ القارئ ، بالإضافة إلى معرفته بالجنس الأدبي الذي ينتمي إليه العمل ، موكول بأن يُلمّ أيضا بسيرورة النشاط الإبداعي الذي يخصّ الأعمال السابقة على ظهور العمل الجديد ، أي إدراك توالي النصوص في الزمان ، و إذا ما كانت بعض هذه النصوص قد رجّت التقاليد الفنيّة القديمة ، و أحدثت بذلك اختلالا أو تشويشا جديدا في هذه التقاليد ، ممّا يستدعي تشكيل استجابة جديدة أمام النصّ الجديد : (( إنّ أفق التوقّعات الذي يأتي من خبرة قديمة عند القارئ بأعمال سابقة ، يلتقي بالنصّ الجديد الذي يقرأه </w:t>
      </w:r>
      <w:r>
        <w:rPr>
          <w:rFonts w:cs="Simplified Arabic" w:hint="cs"/>
          <w:sz w:val="28"/>
          <w:szCs w:val="28"/>
          <w:rtl/>
        </w:rPr>
        <w:lastRenderedPageBreak/>
        <w:t xml:space="preserve">، و حينئذ فتوقعاته قد تكون تنويعا على ما سبق أو تصحيحا له أو تبديلا كاملا أو مجرّد توقعات قديمة تنبعث من جديد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3"/>
        <w:t>( 116 )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3D268346" w14:textId="77777777" w:rsidR="00876A42" w:rsidRDefault="00876A42" w:rsidP="00876A42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إنّ العمل الأدبي في لحظة ظهوره لا يقدّم نفسه بجدّة </w:t>
      </w:r>
      <w:proofErr w:type="gramStart"/>
      <w:r>
        <w:rPr>
          <w:rFonts w:cs="Simplified Arabic" w:hint="cs"/>
          <w:sz w:val="28"/>
          <w:szCs w:val="28"/>
          <w:rtl/>
        </w:rPr>
        <w:t>مطلقة ،</w:t>
      </w:r>
      <w:proofErr w:type="gramEnd"/>
      <w:r>
        <w:rPr>
          <w:rFonts w:cs="Simplified Arabic" w:hint="cs"/>
          <w:sz w:val="28"/>
          <w:szCs w:val="28"/>
          <w:rtl/>
        </w:rPr>
        <w:t xml:space="preserve"> كما أنّ القارئ لا يتلقاه من فراغ معر في و خبراتي ، بل إنّ العمل الأدبي له </w:t>
      </w:r>
      <w:proofErr w:type="spellStart"/>
      <w:r>
        <w:rPr>
          <w:rFonts w:cs="Simplified Arabic" w:hint="cs"/>
          <w:sz w:val="28"/>
          <w:szCs w:val="28"/>
          <w:rtl/>
        </w:rPr>
        <w:t>محموله</w:t>
      </w:r>
      <w:proofErr w:type="spellEnd"/>
      <w:r>
        <w:rPr>
          <w:rFonts w:cs="Simplified Arabic" w:hint="cs"/>
          <w:sz w:val="28"/>
          <w:szCs w:val="28"/>
          <w:rtl/>
        </w:rPr>
        <w:t xml:space="preserve"> المعرفي و اللغوي أيضا ، و هو يُظهر هذا المحمول ضمن إشارات صريحة و ضمنية ، و في سياق مرجعيات يحيل القارئَ عليها ، لذلك يكون جمهور هذا العمل مؤهّلا نحو نمط معيّن من الاستقبال . إنّ العمل الجديد يستحضر في ثناياه أشياء قد تمّ تلقيها من </w:t>
      </w:r>
      <w:proofErr w:type="gramStart"/>
      <w:r>
        <w:rPr>
          <w:rFonts w:cs="Simplified Arabic" w:hint="cs"/>
          <w:sz w:val="28"/>
          <w:szCs w:val="28"/>
          <w:rtl/>
        </w:rPr>
        <w:t>قبل ،</w:t>
      </w:r>
      <w:proofErr w:type="gramEnd"/>
      <w:r>
        <w:rPr>
          <w:rFonts w:cs="Simplified Arabic" w:hint="cs"/>
          <w:sz w:val="28"/>
          <w:szCs w:val="28"/>
          <w:rtl/>
        </w:rPr>
        <w:t xml:space="preserve"> و يضع بذلك قارئه في حالة ما من الاستعداد النفسي ، و يتشكّل لديه ، منذ البداية ، توقّع حول ما سيعرضه النصّ عبر مراحل القراءة ، و هنا يمكن معاينة هذا التوقّع عمّا إذا كان سيتحقّق أو يُعدّل أو يعاد توجيهه أو يتمّ دحضه ، بحسب ، طبعا ، جملة المعايير التي تسنّها الأجناس و الأساليب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4"/>
        <w:t>( 117)</w:t>
      </w:r>
      <w:r>
        <w:rPr>
          <w:rFonts w:cs="Simplified Arabic" w:hint="cs"/>
          <w:sz w:val="28"/>
          <w:szCs w:val="28"/>
          <w:rtl/>
        </w:rPr>
        <w:t xml:space="preserve"> .</w:t>
      </w:r>
    </w:p>
    <w:p w14:paraId="0986E654" w14:textId="77777777" w:rsidR="00876A42" w:rsidRDefault="00876A42" w:rsidP="00876A42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إنّ النصّ الجديد ، كما هو في عرف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، يستحضر جملة من التوقّعات و القواعد ، التي تتشكّل من الأفق السائد في الجنس أو الشكل الأدبي ، ثمّ عمل على تجسيدها مسار الأعمال السابقة فغدت مألوفة معه ، لكنّ ألفتها لا تمنع من تعديلها و تصحيحها أو إعادة إنتاجها أثناء القراءة  الجديدة ؛ ثمّ إنّ استقبال النصّ في مستواه التأويلي يفترض دائما سياق التجربة السابقة التي يتمّ من خلالها تعيين المنظور الجمالي ، كما أنّ إعادة تشكيل أفق التوقّع بشكل موضوعي يخضع لإعادة تشكيل استعداد القارئ نفسه ، و هو يواجه العمل ، و الحقيقة أنّ ذلك يتمّ بالعوامل الثلاثة التي يفترضها الأفق : ( المعرفة بقواعد الجنس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مقاربة العمل بالأعمال السابقة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و التعارض بين ما هو خيالي و ما هو واقعي ) يقول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: (( إنّ ثالث هذه العوامل يتضمن ، بالنسبة للقارئ ، إمكانية إدراك العمل الجديد وفق الأفق الضيّق لتوقّعه الأدبي ، مقابلة بالأفق الواسع الذي توفّره له تجربته في الحياة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5"/>
        <w:t>( 118 )</w:t>
      </w:r>
      <w:r>
        <w:rPr>
          <w:rFonts w:cs="Simplified Arabic" w:hint="cs"/>
          <w:sz w:val="28"/>
          <w:szCs w:val="28"/>
          <w:rtl/>
        </w:rPr>
        <w:t xml:space="preserve"> . و بالتالي فإنّنا نقف مع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أمام أفق مزدوج </w:t>
      </w:r>
      <w:r>
        <w:rPr>
          <w:sz w:val="28"/>
          <w:szCs w:val="28"/>
        </w:rPr>
        <w:t>Double Horizon</w:t>
      </w:r>
      <w:r>
        <w:rPr>
          <w:rFonts w:cs="Simplified Arabic" w:hint="cs"/>
          <w:sz w:val="28"/>
          <w:szCs w:val="28"/>
          <w:rtl/>
        </w:rPr>
        <w:t xml:space="preserve">   أفق أدبي و أفق </w:t>
      </w:r>
      <w:proofErr w:type="gramStart"/>
      <w:r>
        <w:rPr>
          <w:rFonts w:cs="Simplified Arabic" w:hint="cs"/>
          <w:sz w:val="28"/>
          <w:szCs w:val="28"/>
          <w:rtl/>
        </w:rPr>
        <w:t>اجتماعي ،</w:t>
      </w:r>
      <w:proofErr w:type="gramEnd"/>
      <w:r>
        <w:rPr>
          <w:rFonts w:cs="Simplified Arabic" w:hint="cs"/>
          <w:sz w:val="28"/>
          <w:szCs w:val="28"/>
          <w:rtl/>
        </w:rPr>
        <w:t xml:space="preserve"> ما دام النصّ لا يقول من فراغ ، كما أنّ القارئ بدوره لا يصدر من فراغ .</w:t>
      </w:r>
    </w:p>
    <w:p w14:paraId="173EEC73" w14:textId="77777777" w:rsidR="00876A42" w:rsidRDefault="00876A42" w:rsidP="00876A42">
      <w:pPr>
        <w:spacing w:before="120" w:after="240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لا يقدّم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فكرة أفق التوقّّّّّع للتجربة الجمالية للقارئ على أنّها فكرة ملازمة ، و في كلّ     مرّة ، لصفة التحقّق  و الإرضاء ، و أنّ هذا الأفق هو دائما أفق واحد نتلقى به الأعمال المتوالية مع كلّ تجربة جديدة ، بل إنّ هذا الأفق عرضة للتغيير و التحوير وفق الاستجابة القرائية للمتلقي ، و الأثر الذي يمكن أن يحدثه العمل في هذا   المتلقي ، لذلك فإنّ </w:t>
      </w:r>
      <w:proofErr w:type="spellStart"/>
      <w:r>
        <w:rPr>
          <w:rFonts w:cs="Simplified Arabic" w:hint="cs"/>
          <w:sz w:val="28"/>
          <w:szCs w:val="28"/>
          <w:rtl/>
        </w:rPr>
        <w:t>ياوس</w:t>
      </w:r>
      <w:proofErr w:type="spellEnd"/>
      <w:r>
        <w:rPr>
          <w:rFonts w:cs="Simplified Arabic" w:hint="cs"/>
          <w:sz w:val="28"/>
          <w:szCs w:val="28"/>
          <w:rtl/>
        </w:rPr>
        <w:t xml:space="preserve"> يشير أيضا إلى مفهوم : تغيير الأفق </w:t>
      </w:r>
      <w:proofErr w:type="spellStart"/>
      <w:r>
        <w:rPr>
          <w:sz w:val="28"/>
          <w:szCs w:val="28"/>
        </w:rPr>
        <w:t>Changement</w:t>
      </w:r>
      <w:proofErr w:type="spellEnd"/>
      <w:r>
        <w:rPr>
          <w:sz w:val="28"/>
          <w:szCs w:val="28"/>
        </w:rPr>
        <w:t xml:space="preserve"> d'</w:t>
      </w:r>
      <w:r>
        <w:rPr>
          <w:sz w:val="28"/>
          <w:szCs w:val="28"/>
          <w:lang w:val="fr-FR"/>
        </w:rPr>
        <w:t>horizon</w:t>
      </w:r>
      <w:r>
        <w:rPr>
          <w:rFonts w:cs="Simplified Arabic" w:hint="cs"/>
          <w:sz w:val="28"/>
          <w:szCs w:val="28"/>
          <w:rtl/>
        </w:rPr>
        <w:t xml:space="preserve">  الذي يمكن أن يحصل اعتبارا لتفحّص الانزياح الجمالي </w:t>
      </w:r>
      <w:proofErr w:type="spellStart"/>
      <w:r>
        <w:rPr>
          <w:rFonts w:cs="Simplified Arabic"/>
          <w:sz w:val="28"/>
          <w:szCs w:val="28"/>
        </w:rPr>
        <w:t>écart</w:t>
      </w:r>
      <w:proofErr w:type="spellEnd"/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lastRenderedPageBreak/>
        <w:t>ésthétique</w:t>
      </w:r>
      <w:proofErr w:type="spellEnd"/>
      <w:r>
        <w:rPr>
          <w:rFonts w:cs="Simplified Arabic" w:hint="cs"/>
          <w:sz w:val="28"/>
          <w:szCs w:val="28"/>
          <w:rtl/>
        </w:rPr>
        <w:t xml:space="preserve"> بين أفق التوقّع الموجود لدى القارئ و بين العمل الجديد : (( إنّّ تغيّّّّر الأفق يسمح بإدراك الخاصية الفنّية للعمل ، بالقياس إلى المسافة الجمالية ، أي بالقياس إلى المسافة بين التوقّع و التجربة ، بين التقليد و التجديد ))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6"/>
        <w:t>( 119 )</w:t>
      </w:r>
      <w:r>
        <w:rPr>
          <w:rFonts w:cs="Simplified Arabic" w:hint="cs"/>
          <w:sz w:val="28"/>
          <w:szCs w:val="28"/>
          <w:rtl/>
        </w:rPr>
        <w:t xml:space="preserve"> ، فالعمل الجديد ، في لحظة ظهوره ، يكشف عن نمط أو طريقة يتجّلى بها لجمهوره الأوّل ، فإمّا أن يستجيب لأفقه أو يتجـاوزه أو </w:t>
      </w:r>
      <w:proofErr w:type="spellStart"/>
      <w:r>
        <w:rPr>
          <w:rFonts w:cs="Simplified Arabic" w:hint="cs"/>
          <w:sz w:val="28"/>
          <w:szCs w:val="28"/>
          <w:rtl/>
        </w:rPr>
        <w:t>يدحضه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Style w:val="Appelnotedebasdep"/>
          <w:rFonts w:cs="Simplified Arabic"/>
          <w:sz w:val="28"/>
          <w:szCs w:val="28"/>
          <w:rtl/>
        </w:rPr>
        <w:footnoteReference w:customMarkFollows="1" w:id="7"/>
        <w:t>( 120 )</w:t>
      </w:r>
      <w:r>
        <w:rPr>
          <w:rFonts w:cs="Simplified Arabic" w:hint="cs"/>
          <w:sz w:val="28"/>
          <w:szCs w:val="28"/>
          <w:rtl/>
        </w:rPr>
        <w:t>،  و النتيجة أنّ معيارا نقديا ما سينشأ للحكم على قيمته الجمالية .</w:t>
      </w:r>
    </w:p>
    <w:p w14:paraId="0B10A7B2" w14:textId="77777777" w:rsidR="007C28B6" w:rsidRDefault="007C28B6"/>
    <w:sectPr w:rsidR="007C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FD5E" w14:textId="77777777" w:rsidR="00EB0546" w:rsidRDefault="00EB0546" w:rsidP="00876A42">
      <w:r>
        <w:separator/>
      </w:r>
    </w:p>
  </w:endnote>
  <w:endnote w:type="continuationSeparator" w:id="0">
    <w:p w14:paraId="121BE0A6" w14:textId="77777777" w:rsidR="00EB0546" w:rsidRDefault="00EB0546" w:rsidP="0087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7043" w14:textId="77777777" w:rsidR="00EB0546" w:rsidRDefault="00EB0546" w:rsidP="00876A42">
      <w:r>
        <w:separator/>
      </w:r>
    </w:p>
  </w:footnote>
  <w:footnote w:type="continuationSeparator" w:id="0">
    <w:p w14:paraId="4F6A2A7E" w14:textId="77777777" w:rsidR="00EB0546" w:rsidRDefault="00EB0546" w:rsidP="00876A42">
      <w:r>
        <w:continuationSeparator/>
      </w:r>
    </w:p>
  </w:footnote>
  <w:footnote w:id="1">
    <w:p w14:paraId="6401B9A3" w14:textId="77777777" w:rsidR="00876A42" w:rsidRDefault="00876A42" w:rsidP="00876A42">
      <w:pPr>
        <w:pStyle w:val="Notedebasdepage"/>
        <w:spacing w:before="120"/>
        <w:jc w:val="lowKashida"/>
        <w:rPr>
          <w:sz w:val="22"/>
          <w:szCs w:val="22"/>
          <w:rtl/>
        </w:rPr>
      </w:pPr>
      <w:r>
        <w:rPr>
          <w:rStyle w:val="Appelnotedebasdep"/>
          <w:sz w:val="28"/>
          <w:szCs w:val="28"/>
        </w:rPr>
        <w:t>(</w:t>
      </w:r>
      <w:r>
        <w:rPr>
          <w:rStyle w:val="Appelnotedebasdep"/>
          <w:sz w:val="28"/>
          <w:szCs w:val="28"/>
        </w:rPr>
        <w:sym w:font="Symbol" w:char="F02A"/>
      </w:r>
      <w:r>
        <w:rPr>
          <w:rStyle w:val="Appelnotedebasdep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يطرح هذا المصطلح النقدي في جمالية الاستقبال إشكالية نظرية من حيث الترجمة و النقل إلى المدوّنة النقدية </w:t>
      </w:r>
      <w:proofErr w:type="gramStart"/>
      <w:r>
        <w:rPr>
          <w:rFonts w:hint="cs"/>
          <w:sz w:val="22"/>
          <w:szCs w:val="22"/>
          <w:rtl/>
        </w:rPr>
        <w:t>العربية ،</w:t>
      </w:r>
      <w:proofErr w:type="gramEnd"/>
      <w:r>
        <w:rPr>
          <w:rFonts w:hint="cs"/>
          <w:sz w:val="22"/>
          <w:szCs w:val="22"/>
          <w:rtl/>
        </w:rPr>
        <w:t xml:space="preserve"> إذ نجد المصطلح في الكثير من الدراسات العربية قد تُرجم إلى ( أفق الانتظار ) و في القليل منها نجده قد تُرجم إلى ( أفق التوقّع ) ، و الحقيقة أنّ </w:t>
      </w:r>
      <w:proofErr w:type="spellStart"/>
      <w:r>
        <w:rPr>
          <w:rFonts w:hint="cs"/>
          <w:sz w:val="22"/>
          <w:szCs w:val="22"/>
          <w:rtl/>
        </w:rPr>
        <w:t>ياوس</w:t>
      </w:r>
      <w:proofErr w:type="spellEnd"/>
      <w:r>
        <w:rPr>
          <w:rFonts w:hint="cs"/>
          <w:sz w:val="22"/>
          <w:szCs w:val="22"/>
          <w:rtl/>
        </w:rPr>
        <w:t xml:space="preserve"> يقرّ ، كما سبق أن ذكرنا ، بفضل كارل بوبر في منحه هذا المصطلح و هذا المفهوم ، إذ إنّ بوبر يستخدم في كتابه باللغة الإنجليزية ( </w:t>
      </w:r>
      <w:r>
        <w:rPr>
          <w:sz w:val="22"/>
          <w:szCs w:val="22"/>
        </w:rPr>
        <w:t xml:space="preserve">All life is problem solving . p </w:t>
      </w:r>
      <w:proofErr w:type="spellStart"/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3 .4 .5. </w:t>
      </w:r>
      <w:proofErr w:type="gramStart"/>
      <w:r>
        <w:rPr>
          <w:sz w:val="22"/>
          <w:szCs w:val="22"/>
        </w:rPr>
        <w:t>10 .</w:t>
      </w:r>
      <w:proofErr w:type="gramEnd"/>
      <w:r>
        <w:rPr>
          <w:sz w:val="22"/>
          <w:szCs w:val="22"/>
        </w:rPr>
        <w:t xml:space="preserve"> 38. 51 60</w:t>
      </w:r>
      <w:proofErr w:type="gramStart"/>
      <w:r>
        <w:rPr>
          <w:sz w:val="22"/>
          <w:szCs w:val="22"/>
        </w:rPr>
        <w:t>.</w:t>
      </w:r>
      <w:r>
        <w:rPr>
          <w:rFonts w:hint="cs"/>
          <w:sz w:val="22"/>
          <w:szCs w:val="22"/>
          <w:rtl/>
        </w:rPr>
        <w:t xml:space="preserve"> )</w:t>
      </w:r>
      <w:proofErr w:type="gramEnd"/>
      <w:r>
        <w:rPr>
          <w:rFonts w:hint="cs"/>
          <w:sz w:val="22"/>
          <w:szCs w:val="22"/>
          <w:rtl/>
        </w:rPr>
        <w:t xml:space="preserve">  يستخدم كلمة </w:t>
      </w:r>
      <w:r>
        <w:rPr>
          <w:sz w:val="22"/>
          <w:szCs w:val="22"/>
        </w:rPr>
        <w:t>expectation</w:t>
      </w:r>
      <w:r>
        <w:rPr>
          <w:rFonts w:hint="cs"/>
          <w:sz w:val="22"/>
          <w:szCs w:val="22"/>
          <w:rtl/>
        </w:rPr>
        <w:t xml:space="preserve"> التي تعني </w:t>
      </w:r>
      <w:proofErr w:type="gramStart"/>
      <w:r>
        <w:rPr>
          <w:rFonts w:hint="cs"/>
          <w:sz w:val="22"/>
          <w:szCs w:val="22"/>
          <w:rtl/>
        </w:rPr>
        <w:t>التوقّع ،</w:t>
      </w:r>
      <w:proofErr w:type="gramEnd"/>
      <w:r>
        <w:rPr>
          <w:rFonts w:hint="cs"/>
          <w:sz w:val="22"/>
          <w:szCs w:val="22"/>
          <w:rtl/>
        </w:rPr>
        <w:t xml:space="preserve"> في حين كلمة </w:t>
      </w:r>
      <w:proofErr w:type="spellStart"/>
      <w:r>
        <w:rPr>
          <w:sz w:val="22"/>
          <w:szCs w:val="22"/>
        </w:rPr>
        <w:t>Attente</w:t>
      </w:r>
      <w:proofErr w:type="spellEnd"/>
      <w:r>
        <w:rPr>
          <w:rFonts w:hint="cs"/>
          <w:sz w:val="22"/>
          <w:szCs w:val="22"/>
          <w:rtl/>
        </w:rPr>
        <w:t xml:space="preserve"> تعني الانتظار . و الأصل عند بوبر هو أنّ التوقّع يُبنى على إمكانية الدحض ( و هو منطلق النظرية العلمية التي تعتمد مبدأ قابلية التكذيب ) فما كان مبنيا على قابلية التكذيب هو من باب التوقّع و ليس من باب الانتظار ، لأنّ الانتظار يُبنى على قابلية التأييد ،لذلك فإنّنا نعتمد بكلّ موضوعية في هذا البحث مصطلح التوقّع بدلا من الانتظار . </w:t>
      </w:r>
    </w:p>
  </w:footnote>
  <w:footnote w:id="2">
    <w:p w14:paraId="313B9575" w14:textId="77777777" w:rsidR="00876A42" w:rsidRDefault="00876A42" w:rsidP="00876A42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( 115 )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proofErr w:type="spellStart"/>
      <w:r>
        <w:rPr>
          <w:sz w:val="22"/>
          <w:szCs w:val="22"/>
        </w:rPr>
        <w:t>jauss</w:t>
      </w:r>
      <w:proofErr w:type="spellEnd"/>
      <w:r>
        <w:rPr>
          <w:sz w:val="22"/>
          <w:szCs w:val="22"/>
        </w:rPr>
        <w:t xml:space="preserve"> ; </w:t>
      </w:r>
      <w:proofErr w:type="gramStart"/>
      <w:r>
        <w:rPr>
          <w:sz w:val="22"/>
          <w:szCs w:val="22"/>
        </w:rPr>
        <w:t>OP .</w:t>
      </w:r>
      <w:proofErr w:type="gramEnd"/>
      <w:r>
        <w:rPr>
          <w:sz w:val="22"/>
          <w:szCs w:val="22"/>
        </w:rPr>
        <w:t xml:space="preserve"> CIT p </w:t>
      </w:r>
      <w:proofErr w:type="gramStart"/>
      <w:r>
        <w:rPr>
          <w:sz w:val="22"/>
          <w:szCs w:val="22"/>
        </w:rPr>
        <w:t>49 .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</w:footnote>
  <w:footnote w:id="3">
    <w:p w14:paraId="55E16AEA" w14:textId="77777777" w:rsidR="00876A42" w:rsidRDefault="00876A42" w:rsidP="00876A42">
      <w:pPr>
        <w:pStyle w:val="Notedebasdepage"/>
        <w:spacing w:before="120"/>
        <w:jc w:val="lowKashida"/>
        <w:rPr>
          <w:sz w:val="24"/>
          <w:szCs w:val="24"/>
          <w:rtl/>
        </w:rPr>
      </w:pPr>
      <w:r>
        <w:rPr>
          <w:rStyle w:val="Appelnotedebasdep"/>
        </w:rPr>
        <w:t>( 116 )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- السيد </w:t>
      </w:r>
      <w:proofErr w:type="gramStart"/>
      <w:r>
        <w:rPr>
          <w:rFonts w:hint="cs"/>
          <w:sz w:val="22"/>
          <w:szCs w:val="22"/>
          <w:rtl/>
        </w:rPr>
        <w:t>إبراهيم :</w:t>
      </w:r>
      <w:proofErr w:type="gramEnd"/>
      <w:r>
        <w:rPr>
          <w:rFonts w:hint="cs"/>
          <w:sz w:val="22"/>
          <w:szCs w:val="22"/>
          <w:rtl/>
        </w:rPr>
        <w:t xml:space="preserve"> النظرية النقدية و مفهوم أفق التوقّع ، ص 169 .</w:t>
      </w:r>
    </w:p>
  </w:footnote>
  <w:footnote w:id="4">
    <w:p w14:paraId="43CF82CD" w14:textId="77777777" w:rsidR="00876A42" w:rsidRDefault="00876A42" w:rsidP="00876A42">
      <w:pPr>
        <w:pStyle w:val="Notedebasdepage"/>
        <w:jc w:val="lowKashida"/>
        <w:rPr>
          <w:sz w:val="24"/>
          <w:szCs w:val="24"/>
          <w:lang w:val="fr-FR"/>
        </w:rPr>
      </w:pPr>
      <w:r>
        <w:rPr>
          <w:rStyle w:val="Appelnotedebasdep"/>
          <w:lang w:val="fr-FR"/>
        </w:rPr>
        <w:t>( 117)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  <w:lang w:val="fr-FR"/>
        </w:rPr>
        <w:t xml:space="preserve"> -           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</w:t>
      </w:r>
      <w:smartTag w:uri="urn:schemas-microsoft-com:office:smarttags" w:element="PersonName">
        <w:smartTagPr>
          <w:attr w:name="ProductID" w:val="La R￩ception"/>
        </w:smartTagPr>
        <w:r>
          <w:rPr>
            <w:sz w:val="22"/>
            <w:szCs w:val="22"/>
            <w:lang w:val="fr-FR"/>
          </w:rPr>
          <w:t>La Réception</w:t>
        </w:r>
      </w:smartTag>
      <w:proofErr w:type="gramStart"/>
      <w:r>
        <w:rPr>
          <w:sz w:val="22"/>
          <w:szCs w:val="22"/>
          <w:lang w:val="fr-FR"/>
        </w:rPr>
        <w:t xml:space="preserve"> ,</w:t>
      </w:r>
      <w:proofErr w:type="gramEnd"/>
      <w:r>
        <w:rPr>
          <w:sz w:val="22"/>
          <w:szCs w:val="22"/>
          <w:lang w:val="fr-FR"/>
        </w:rPr>
        <w:t xml:space="preserve"> p 50 .                                                                                                                  </w:t>
      </w:r>
    </w:p>
  </w:footnote>
  <w:footnote w:id="5">
    <w:p w14:paraId="0AD9CC9D" w14:textId="77777777" w:rsidR="00876A42" w:rsidRDefault="00876A42" w:rsidP="00876A42">
      <w:pPr>
        <w:pStyle w:val="Notedebasdepage"/>
        <w:jc w:val="lowKashida"/>
        <w:rPr>
          <w:sz w:val="24"/>
          <w:szCs w:val="24"/>
        </w:rPr>
      </w:pPr>
      <w:r>
        <w:rPr>
          <w:rStyle w:val="Appelnotedebasdep"/>
        </w:rPr>
        <w:t>( 118 )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r>
        <w:rPr>
          <w:sz w:val="22"/>
          <w:szCs w:val="22"/>
        </w:rPr>
        <w:t>IBID, p 52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</w:t>
      </w:r>
    </w:p>
  </w:footnote>
  <w:footnote w:id="6">
    <w:p w14:paraId="608B6A37" w14:textId="77777777" w:rsidR="00876A42" w:rsidRDefault="00876A42" w:rsidP="00876A42">
      <w:pPr>
        <w:pStyle w:val="Notedebasdepage"/>
        <w:spacing w:before="120"/>
        <w:jc w:val="lowKashida"/>
        <w:rPr>
          <w:sz w:val="24"/>
          <w:szCs w:val="24"/>
        </w:rPr>
      </w:pPr>
      <w:r>
        <w:rPr>
          <w:rStyle w:val="Appelnotedebasdep"/>
        </w:rPr>
        <w:t>( 119 )</w:t>
      </w:r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proofErr w:type="gramStart"/>
      <w:r>
        <w:rPr>
          <w:sz w:val="22"/>
          <w:szCs w:val="22"/>
        </w:rPr>
        <w:t>H 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  <w:lang w:val="fr-FR"/>
        </w:rPr>
        <w:t>R .</w:t>
      </w:r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jauss</w:t>
      </w:r>
      <w:proofErr w:type="spellEnd"/>
      <w:proofErr w:type="gramEnd"/>
      <w:r>
        <w:rPr>
          <w:sz w:val="22"/>
          <w:szCs w:val="22"/>
          <w:lang w:val="fr-FR"/>
        </w:rPr>
        <w:t xml:space="preserve"> ; Pour Une Herméneutique Littéraire ,p 429 </w:t>
      </w:r>
      <w:r>
        <w:rPr>
          <w:sz w:val="24"/>
          <w:szCs w:val="24"/>
          <w:lang w:val="fr-FR"/>
        </w:rPr>
        <w:t xml:space="preserve">.                                                   </w:t>
      </w:r>
    </w:p>
  </w:footnote>
  <w:footnote w:id="7">
    <w:p w14:paraId="5F76AF3F" w14:textId="77777777" w:rsidR="00876A42" w:rsidRDefault="00876A42" w:rsidP="00876A42">
      <w:pPr>
        <w:pStyle w:val="Notedebasdepage"/>
        <w:jc w:val="lowKashida"/>
        <w:rPr>
          <w:sz w:val="24"/>
          <w:szCs w:val="24"/>
          <w:rtl/>
        </w:rPr>
      </w:pPr>
      <w:r>
        <w:rPr>
          <w:rStyle w:val="Appelnotedebasdep"/>
        </w:rPr>
        <w:t>( 120 )</w:t>
      </w:r>
      <w:r>
        <w:rPr>
          <w:sz w:val="24"/>
          <w:szCs w:val="24"/>
          <w:lang w:val="fr-FR"/>
        </w:rPr>
        <w:t xml:space="preserve"> </w:t>
      </w:r>
      <w:r>
        <w:rPr>
          <w:rFonts w:hint="cs"/>
          <w:sz w:val="24"/>
          <w:szCs w:val="24"/>
          <w:rtl/>
        </w:rPr>
        <w:t xml:space="preserve"> - </w:t>
      </w:r>
      <w:proofErr w:type="gramStart"/>
      <w:r>
        <w:rPr>
          <w:rFonts w:hint="cs"/>
          <w:sz w:val="22"/>
          <w:szCs w:val="22"/>
          <w:rtl/>
        </w:rPr>
        <w:t>ينظر :</w:t>
      </w:r>
      <w:proofErr w:type="gram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sz w:val="22"/>
          <w:szCs w:val="22"/>
          <w:lang w:val="fr-FR"/>
        </w:rPr>
        <w:t>Jauss</w:t>
      </w:r>
      <w:proofErr w:type="spellEnd"/>
      <w:r>
        <w:rPr>
          <w:sz w:val="22"/>
          <w:szCs w:val="22"/>
          <w:lang w:val="fr-FR"/>
        </w:rPr>
        <w:t xml:space="preserve"> ; Pour Une </w:t>
      </w:r>
      <w:proofErr w:type="spellStart"/>
      <w:r>
        <w:rPr>
          <w:sz w:val="22"/>
          <w:szCs w:val="22"/>
          <w:lang w:val="fr-FR"/>
        </w:rPr>
        <w:t>ésthétique</w:t>
      </w:r>
      <w:proofErr w:type="spellEnd"/>
      <w:r>
        <w:rPr>
          <w:sz w:val="22"/>
          <w:szCs w:val="22"/>
          <w:lang w:val="fr-FR"/>
        </w:rPr>
        <w:t xml:space="preserve"> De </w:t>
      </w:r>
      <w:smartTag w:uri="urn:schemas-microsoft-com:office:smarttags" w:element="PersonName">
        <w:smartTagPr>
          <w:attr w:name="ProductID" w:val="La R￩ception"/>
        </w:smartTagPr>
        <w:r>
          <w:rPr>
            <w:sz w:val="22"/>
            <w:szCs w:val="22"/>
            <w:lang w:val="fr-FR"/>
          </w:rPr>
          <w:t>La Réception</w:t>
        </w:r>
      </w:smartTag>
      <w:r>
        <w:rPr>
          <w:sz w:val="22"/>
          <w:szCs w:val="22"/>
          <w:lang w:val="fr-FR"/>
        </w:rPr>
        <w:t xml:space="preserve"> , p 50</w:t>
      </w:r>
      <w:r>
        <w:rPr>
          <w:sz w:val="24"/>
          <w:szCs w:val="24"/>
          <w:lang w:val="fr-FR"/>
        </w:rPr>
        <w:t xml:space="preserve">.       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C6"/>
    <w:rsid w:val="007C28B6"/>
    <w:rsid w:val="00876A42"/>
    <w:rsid w:val="00EB0546"/>
    <w:rsid w:val="00F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70B1EE"/>
  <w15:chartTrackingRefBased/>
  <w15:docId w15:val="{939879F5-345C-4847-BC18-F7C5EF82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876A4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76A4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ppelnotedebasdep">
    <w:name w:val="footnote reference"/>
    <w:basedOn w:val="Policepardfaut"/>
    <w:semiHidden/>
    <w:rsid w:val="00876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kheiro daiche</dc:creator>
  <cp:keywords/>
  <dc:description/>
  <cp:lastModifiedBy>kheiro daiche</cp:lastModifiedBy>
  <cp:revision>2</cp:revision>
  <dcterms:created xsi:type="dcterms:W3CDTF">2023-01-09T14:27:00Z</dcterms:created>
  <dcterms:modified xsi:type="dcterms:W3CDTF">2023-01-09T14:28:00Z</dcterms:modified>
</cp:coreProperties>
</file>