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8684" w14:textId="77777777" w:rsidR="00D2208D" w:rsidRPr="00D2208D" w:rsidRDefault="00D2208D" w:rsidP="00D2208D">
      <w:pPr>
        <w:spacing w:before="120" w:after="240"/>
        <w:jc w:val="lowKashida"/>
        <w:rPr>
          <w:rFonts w:cs="Simplified Arabic"/>
          <w:b/>
          <w:bCs/>
          <w:sz w:val="44"/>
          <w:szCs w:val="44"/>
          <w:rtl/>
        </w:rPr>
      </w:pPr>
      <w:r w:rsidRPr="00D2208D">
        <w:rPr>
          <w:rFonts w:cs="Simplified Arabic" w:hint="cs"/>
          <w:b/>
          <w:bCs/>
          <w:sz w:val="44"/>
          <w:szCs w:val="44"/>
          <w:rtl/>
        </w:rPr>
        <w:t xml:space="preserve">المحاضرة </w:t>
      </w:r>
      <w:proofErr w:type="gramStart"/>
      <w:r w:rsidRPr="00D2208D">
        <w:rPr>
          <w:rFonts w:cs="Simplified Arabic" w:hint="cs"/>
          <w:b/>
          <w:bCs/>
          <w:sz w:val="44"/>
          <w:szCs w:val="44"/>
          <w:rtl/>
        </w:rPr>
        <w:t>2 :</w:t>
      </w:r>
      <w:proofErr w:type="gramEnd"/>
      <w:r w:rsidRPr="00D2208D">
        <w:rPr>
          <w:rFonts w:cs="Simplified Arabic" w:hint="cs"/>
          <w:b/>
          <w:bCs/>
          <w:sz w:val="44"/>
          <w:szCs w:val="44"/>
          <w:rtl/>
        </w:rPr>
        <w:t xml:space="preserve"> نقد </w:t>
      </w:r>
      <w:proofErr w:type="spellStart"/>
      <w:r w:rsidRPr="00D2208D">
        <w:rPr>
          <w:rFonts w:cs="Simplified Arabic" w:hint="cs"/>
          <w:b/>
          <w:bCs/>
          <w:sz w:val="44"/>
          <w:szCs w:val="44"/>
          <w:rtl/>
        </w:rPr>
        <w:t>الشكلانية</w:t>
      </w:r>
      <w:proofErr w:type="spellEnd"/>
      <w:r w:rsidRPr="00D2208D">
        <w:rPr>
          <w:rFonts w:cs="Simplified Arabic" w:hint="cs"/>
          <w:b/>
          <w:bCs/>
          <w:sz w:val="44"/>
          <w:szCs w:val="44"/>
          <w:rtl/>
        </w:rPr>
        <w:t xml:space="preserve"> :</w:t>
      </w:r>
    </w:p>
    <w:p w14:paraId="762C44BC" w14:textId="5ACB4E95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ثمّ يستطرد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منتقدا أفكار المدرسة </w:t>
      </w:r>
      <w:proofErr w:type="spellStart"/>
      <w:r>
        <w:rPr>
          <w:rFonts w:cs="Simplified Arabic" w:hint="cs"/>
          <w:sz w:val="28"/>
          <w:szCs w:val="28"/>
          <w:rtl/>
        </w:rPr>
        <w:t>الشكلانية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 و مقترحاتها ، كونها لم تعرض هي أيضا النموذج الأمثل لتناول العمل الفنّي و الظاهرة الأدبية ، على الرغم من أسبقيتها ، على امتداد أربعين سنة قبل الماركسية ، في تناول  و طرح مسألة </w:t>
      </w:r>
      <w:proofErr w:type="spellStart"/>
      <w:r>
        <w:rPr>
          <w:rFonts w:cs="Simplified Arabic" w:hint="cs"/>
          <w:sz w:val="28"/>
          <w:szCs w:val="28"/>
          <w:rtl/>
        </w:rPr>
        <w:t>تاريخانية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الأشكال الفنّية ، إلاّ أنّ هذه المدرسة ، كما يسجل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أخذت بزمام البحث المعمّق في كلّ ما يختص باللغة و التشكيل اللغوي الذي هو دعامة النصّ الأولى في جمالياته و خصوصياته .لقد عكفت </w:t>
      </w:r>
      <w:proofErr w:type="spellStart"/>
      <w:r>
        <w:rPr>
          <w:rFonts w:cs="Simplified Arabic" w:hint="cs"/>
          <w:sz w:val="28"/>
          <w:szCs w:val="28"/>
          <w:rtl/>
        </w:rPr>
        <w:t>الشكلانية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على وضع نظرية تعنـى بالمنهج الشكلي </w:t>
      </w:r>
      <w:proofErr w:type="spellStart"/>
      <w:r>
        <w:rPr>
          <w:sz w:val="28"/>
          <w:szCs w:val="28"/>
        </w:rPr>
        <w:t>Méthode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formelle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في الدراسة الأدبية ، حيث يمكن الاحتفاء بطريقة خاصة جدّا في تناول خصوصية الجمالية الأدبية و معاينتها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"/>
        <w:t>( 105 )</w:t>
      </w:r>
      <w:r>
        <w:rPr>
          <w:rFonts w:cs="Simplified Arabic" w:hint="cs"/>
          <w:sz w:val="28"/>
          <w:szCs w:val="28"/>
          <w:rtl/>
        </w:rPr>
        <w:t xml:space="preserve"> ، و هي بذلك ، أشبه ما تكون قد اقتربت من حدود الإجراء العلمي الذي يحاول ربط كلّ علّة بمعلولها ، و يفسّر الظواهر تفسيرا تحليليا </w:t>
      </w:r>
      <w:proofErr w:type="spellStart"/>
      <w:r>
        <w:rPr>
          <w:sz w:val="28"/>
          <w:szCs w:val="28"/>
        </w:rPr>
        <w:t>Analytique</w:t>
      </w:r>
      <w:proofErr w:type="spellEnd"/>
      <w:r>
        <w:rPr>
          <w:rFonts w:cs="Simplified Arabic" w:hint="cs"/>
          <w:sz w:val="28"/>
          <w:szCs w:val="28"/>
          <w:rtl/>
        </w:rPr>
        <w:t xml:space="preserve"> بتقليص ، قدر الإمكان ، درجة تأثير السياقات و الأنساق التي قد تحيط بالظاهرة ، لذلك فإنّ </w:t>
      </w:r>
      <w:proofErr w:type="spellStart"/>
      <w:r>
        <w:rPr>
          <w:rFonts w:cs="Simplified Arabic" w:hint="cs"/>
          <w:sz w:val="28"/>
          <w:szCs w:val="28"/>
          <w:rtl/>
        </w:rPr>
        <w:t>الشكلانية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في منهجها تجاه النصّ الأدبي ، تمحور إجراءاتها التحليلية في الكشف عن جمالية النصّ ، طبعا ، بإبعاد بُنى النصّ عن كلّ خلفية تاريخية و اجتماعية ( خارج نصّية ) خلال عملية القراءة و التفسير .</w:t>
      </w:r>
    </w:p>
    <w:p w14:paraId="1B55D03E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إنّ </w:t>
      </w:r>
      <w:proofErr w:type="gramStart"/>
      <w:r>
        <w:rPr>
          <w:rFonts w:cs="Simplified Arabic" w:hint="cs"/>
          <w:sz w:val="28"/>
          <w:szCs w:val="28"/>
          <w:rtl/>
        </w:rPr>
        <w:t>الأدب ،</w:t>
      </w:r>
      <w:proofErr w:type="gramEnd"/>
      <w:r>
        <w:rPr>
          <w:rFonts w:cs="Simplified Arabic" w:hint="cs"/>
          <w:sz w:val="28"/>
          <w:szCs w:val="28"/>
          <w:rtl/>
        </w:rPr>
        <w:t xml:space="preserve"> في تصوّر </w:t>
      </w:r>
      <w:proofErr w:type="spellStart"/>
      <w:r>
        <w:rPr>
          <w:rFonts w:cs="Simplified Arabic" w:hint="cs"/>
          <w:sz w:val="28"/>
          <w:szCs w:val="28"/>
          <w:rtl/>
        </w:rPr>
        <w:t>الشكلانية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لا يمكن أن يُفهم إلاّ بتعارض اللغة الشعرية مع لغة الواقع  ( لغة الممارسة اليومية ) ، و تبعا لذلك فإنّ النصّ الأدبي ، على أنّه نصّ فني ، إنّما يتحدّد من خلال تميّزه النوعي ( انزياحه الشعري ) و ليس من خلال تعلّقه الوظيفي بالنسبة إلى السلسلة غير الأدبية </w:t>
      </w:r>
      <w:r>
        <w:rPr>
          <w:sz w:val="28"/>
          <w:szCs w:val="28"/>
        </w:rPr>
        <w:t xml:space="preserve">Serie non </w:t>
      </w:r>
      <w:proofErr w:type="spellStart"/>
      <w:r>
        <w:rPr>
          <w:sz w:val="28"/>
          <w:szCs w:val="28"/>
        </w:rPr>
        <w:t>littéraire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2"/>
        <w:t>( 106 )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46229C63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  <w:lang w:val="fr-FR"/>
        </w:rPr>
      </w:pPr>
      <w:r>
        <w:rPr>
          <w:rFonts w:cs="Simplified Arabic" w:hint="cs"/>
          <w:sz w:val="28"/>
          <w:szCs w:val="28"/>
          <w:rtl/>
        </w:rPr>
        <w:t xml:space="preserve">    لقد اعترض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على المدرسة لقولها بهذا النمط من </w:t>
      </w:r>
      <w:proofErr w:type="gramStart"/>
      <w:r>
        <w:rPr>
          <w:rFonts w:cs="Simplified Arabic" w:hint="cs"/>
          <w:sz w:val="28"/>
          <w:szCs w:val="28"/>
          <w:rtl/>
        </w:rPr>
        <w:t>الرؤية ،</w:t>
      </w:r>
      <w:proofErr w:type="gramEnd"/>
      <w:r>
        <w:rPr>
          <w:rFonts w:cs="Simplified Arabic" w:hint="cs"/>
          <w:sz w:val="28"/>
          <w:szCs w:val="28"/>
          <w:rtl/>
        </w:rPr>
        <w:t xml:space="preserve"> الذي يقصر زاوية النظر على تتبع النصّ الأدبي في حركة انتمائه إلى جنس أدبي محدّد ، و ضمن سلسلة من النصوص الأخرى التي تتواجد معه ضمن هذا الجنس ، ممّا يستوجب إجرائيا ، التعامل مع هذه النصوص وفق مبدأ   ( التزامنية ) أو </w:t>
      </w:r>
      <w:proofErr w:type="spellStart"/>
      <w:r>
        <w:rPr>
          <w:rFonts w:cs="Simplified Arabic" w:hint="cs"/>
          <w:sz w:val="28"/>
          <w:szCs w:val="28"/>
          <w:rtl/>
        </w:rPr>
        <w:t>السنكرونية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مع تقريب النصّ المدروس من هذا المحور . غير أنّ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يؤكد على ضرورة القول بالمحور التعاقبي أيضا ، و أنّ أدبية الأدب لا تتحدّد </w:t>
      </w:r>
      <w:proofErr w:type="spellStart"/>
      <w:r>
        <w:rPr>
          <w:rFonts w:cs="Simplified Arabic" w:hint="cs"/>
          <w:sz w:val="28"/>
          <w:szCs w:val="28"/>
          <w:rtl/>
        </w:rPr>
        <w:t>سنكرونيا</w:t>
      </w:r>
      <w:proofErr w:type="spellEnd"/>
      <w:r>
        <w:rPr>
          <w:rFonts w:cs="Simplified Arabic" w:hint="cs"/>
          <w:sz w:val="28"/>
          <w:szCs w:val="28"/>
          <w:rtl/>
        </w:rPr>
        <w:t xml:space="preserve"> فحسب ، عن طريق التعارض بين اللغة الشعرية و لغة الواقع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3"/>
        <w:t>( 107 )</w:t>
      </w:r>
      <w:r>
        <w:rPr>
          <w:rFonts w:cs="Simplified Arabic" w:hint="cs"/>
          <w:sz w:val="28"/>
          <w:szCs w:val="28"/>
          <w:rtl/>
        </w:rPr>
        <w:t xml:space="preserve"> ، يعلّق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</w:t>
      </w:r>
      <w:proofErr w:type="spellStart"/>
      <w:r>
        <w:rPr>
          <w:rFonts w:cs="Simplified Arabic" w:hint="cs"/>
          <w:sz w:val="28"/>
          <w:szCs w:val="28"/>
          <w:rtl/>
        </w:rPr>
        <w:t>السنكرونية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الخالصة ما هي إلاّ وهم ، ما دام - حسب مصطلحات رومان </w:t>
      </w:r>
      <w:proofErr w:type="spellStart"/>
      <w:r>
        <w:rPr>
          <w:rFonts w:cs="Simplified Arabic" w:hint="cs"/>
          <w:sz w:val="28"/>
          <w:szCs w:val="28"/>
          <w:rtl/>
        </w:rPr>
        <w:t>ياكبسون</w:t>
      </w:r>
      <w:proofErr w:type="spellEnd"/>
      <w:r>
        <w:rPr>
          <w:rFonts w:cs="Simplified Arabic" w:hint="cs"/>
          <w:sz w:val="28"/>
          <w:szCs w:val="28"/>
          <w:rtl/>
        </w:rPr>
        <w:t xml:space="preserve"> و لوري </w:t>
      </w:r>
      <w:proofErr w:type="spellStart"/>
      <w:r>
        <w:rPr>
          <w:rFonts w:cs="Simplified Arabic" w:hint="cs"/>
          <w:sz w:val="28"/>
          <w:szCs w:val="28"/>
          <w:rtl/>
        </w:rPr>
        <w:t>تينيانوف</w:t>
      </w:r>
      <w:proofErr w:type="spellEnd"/>
      <w:r>
        <w:rPr>
          <w:rFonts w:cs="Simplified Arabic" w:hint="cs"/>
          <w:sz w:val="28"/>
          <w:szCs w:val="28"/>
          <w:rtl/>
        </w:rPr>
        <w:t xml:space="preserve">  - كلّ نظام يظهر بالضرورة بشكل تطوّري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4"/>
        <w:t>( 108 )</w:t>
      </w:r>
      <w:r>
        <w:rPr>
          <w:rFonts w:cs="Simplified Arabic" w:hint="cs"/>
          <w:sz w:val="28"/>
          <w:szCs w:val="28"/>
          <w:rtl/>
        </w:rPr>
        <w:t xml:space="preserve"> ، إنّ </w:t>
      </w:r>
      <w:r>
        <w:rPr>
          <w:rFonts w:cs="Simplified Arabic" w:hint="cs"/>
          <w:sz w:val="28"/>
          <w:szCs w:val="28"/>
          <w:rtl/>
        </w:rPr>
        <w:lastRenderedPageBreak/>
        <w:t xml:space="preserve">هذا شكل من أشكال الإقرار بضرورة المحور التعاقبي ، إذا فهمناه ضمن نظرية تطوّر الأشكال و الأجناس و الأنواع و الأنظمة ، و هو إقرار في الوقت نفسه بالمنظور التاريخي </w:t>
      </w:r>
      <w:proofErr w:type="spellStart"/>
      <w:r>
        <w:rPr>
          <w:rFonts w:cs="Simplified Arabic" w:hint="cs"/>
          <w:sz w:val="28"/>
          <w:szCs w:val="28"/>
          <w:rtl/>
        </w:rPr>
        <w:t>لتطوّرهذه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الأجناس و الأشكا</w:t>
      </w:r>
      <w:r>
        <w:rPr>
          <w:rFonts w:cs="Simplified Arabic" w:hint="eastAsia"/>
          <w:sz w:val="28"/>
          <w:szCs w:val="28"/>
          <w:rtl/>
        </w:rPr>
        <w:t>ل</w:t>
      </w:r>
      <w:r>
        <w:rPr>
          <w:rFonts w:cs="Simplified Arabic" w:hint="cs"/>
          <w:sz w:val="28"/>
          <w:szCs w:val="28"/>
          <w:rtl/>
        </w:rPr>
        <w:t xml:space="preserve"> الأدبية ، غير إنّ هذا التصوّر </w:t>
      </w:r>
      <w:proofErr w:type="spellStart"/>
      <w:r>
        <w:rPr>
          <w:rFonts w:cs="Simplified Arabic" w:hint="cs"/>
          <w:sz w:val="28"/>
          <w:szCs w:val="28"/>
          <w:rtl/>
        </w:rPr>
        <w:t>الشكلاني</w:t>
      </w:r>
      <w:proofErr w:type="spellEnd"/>
      <w:r>
        <w:rPr>
          <w:rFonts w:cs="Simplified Arabic" w:hint="cs"/>
          <w:sz w:val="28"/>
          <w:szCs w:val="28"/>
          <w:rtl/>
        </w:rPr>
        <w:t xml:space="preserve"> لا يكفي للإقرار أيضا بمصطلح التاريخ </w:t>
      </w:r>
      <w:proofErr w:type="spellStart"/>
      <w:r>
        <w:rPr>
          <w:sz w:val="28"/>
          <w:szCs w:val="28"/>
        </w:rPr>
        <w:t>l'histoire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الذي بداخله يجب أن نتمثّل هذا التطوّر ، بل إنّه علينا ، كما هو في عرف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ياوس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، أن نتجاوز فهم العمل الفنّي في تاريخه هو ، أي في ثنايا التاريخ الأدبي الذي يعدّ تعاقبا للأنظمة و تطوّرها ، نتجاوزه لصالح فهم هذا العمل الفنّي في ظلّ أفقه التاريخي الذي نشأ معه ، و في ظلّ وظيفته الاجتماعية و الأثر الذي مارسه على  التاريخ ، و هو ما ساعد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ياوس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على صياغة مفهوم أفق التوقّع الاجتماعي الذي سنأتي عليه .</w:t>
      </w:r>
    </w:p>
    <w:p w14:paraId="38D64ED8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  <w:lang w:val="fr-FR"/>
        </w:rPr>
        <w:t xml:space="preserve">    إنّ </w:t>
      </w:r>
      <w:proofErr w:type="spellStart"/>
      <w:r>
        <w:rPr>
          <w:rFonts w:cs="Simplified Arabic" w:hint="cs"/>
          <w:sz w:val="28"/>
          <w:szCs w:val="28"/>
          <w:rtl/>
          <w:lang w:val="fr-FR"/>
        </w:rPr>
        <w:t>تاريخانية</w:t>
      </w:r>
      <w:proofErr w:type="spellEnd"/>
      <w:r>
        <w:rPr>
          <w:rFonts w:cs="Simplified Arabic" w:hint="cs"/>
          <w:sz w:val="28"/>
          <w:szCs w:val="28"/>
          <w:rtl/>
          <w:lang w:val="fr-FR"/>
        </w:rPr>
        <w:t xml:space="preserve"> الأدب </w:t>
      </w:r>
      <w:proofErr w:type="spellStart"/>
      <w:r>
        <w:rPr>
          <w:sz w:val="28"/>
          <w:szCs w:val="28"/>
        </w:rPr>
        <w:t>l'historicit</w:t>
      </w:r>
      <w:proofErr w:type="spellEnd"/>
      <w:r>
        <w:rPr>
          <w:sz w:val="28"/>
          <w:szCs w:val="28"/>
          <w:lang w:val="fr-FR"/>
        </w:rPr>
        <w:t>é de la littérature</w:t>
      </w:r>
      <w:r>
        <w:rPr>
          <w:rFonts w:ascii="Arb Times New Roman" w:hAnsi="Arb Times New Roman" w:cs="Simplified Arabic" w:hint="cs"/>
          <w:sz w:val="28"/>
          <w:szCs w:val="28"/>
          <w:rtl/>
          <w:lang w:val="fr-FR"/>
        </w:rPr>
        <w:t xml:space="preserve"> </w:t>
      </w:r>
      <w:r>
        <w:rPr>
          <w:rFonts w:cs="Simplified Arabic" w:hint="cs"/>
          <w:sz w:val="28"/>
          <w:szCs w:val="28"/>
          <w:rtl/>
          <w:lang w:val="fr-FR"/>
        </w:rPr>
        <w:t xml:space="preserve">لا يمكنها أن تنحصر بين تعاقب أنظمة الأشكال و </w:t>
      </w:r>
      <w:proofErr w:type="gramStart"/>
      <w:r>
        <w:rPr>
          <w:rFonts w:cs="Simplified Arabic" w:hint="cs"/>
          <w:sz w:val="28"/>
          <w:szCs w:val="28"/>
          <w:rtl/>
          <w:lang w:val="fr-FR"/>
        </w:rPr>
        <w:t xml:space="preserve">الجماليات </w:t>
      </w:r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Systemes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formes</w:t>
      </w:r>
      <w:proofErr w:type="spellEnd"/>
      <w:r>
        <w:rPr>
          <w:sz w:val="28"/>
          <w:szCs w:val="28"/>
        </w:rPr>
        <w:t xml:space="preserve"> et des </w:t>
      </w:r>
      <w:proofErr w:type="spellStart"/>
      <w:r>
        <w:rPr>
          <w:sz w:val="28"/>
          <w:szCs w:val="28"/>
        </w:rPr>
        <w:t>ésthétiques</w:t>
      </w:r>
      <w:proofErr w:type="spellEnd"/>
      <w:r>
        <w:rPr>
          <w:rFonts w:cs="Simplified Arabic" w:hint="cs"/>
          <w:sz w:val="28"/>
          <w:szCs w:val="28"/>
          <w:rtl/>
        </w:rPr>
        <w:t xml:space="preserve">مثل ما هو حاصل في اللغة عبر نظام تطوّرها ، بل إنّ هذه </w:t>
      </w:r>
      <w:proofErr w:type="spellStart"/>
      <w:r>
        <w:rPr>
          <w:rFonts w:cs="Simplified Arabic" w:hint="cs"/>
          <w:sz w:val="28"/>
          <w:szCs w:val="28"/>
          <w:rtl/>
        </w:rPr>
        <w:t>التاريخانية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متعلّقة أيضا ، بالإضاف</w:t>
      </w:r>
      <w:r>
        <w:rPr>
          <w:rFonts w:cs="Simplified Arabic" w:hint="eastAsia"/>
          <w:sz w:val="28"/>
          <w:szCs w:val="28"/>
          <w:rtl/>
        </w:rPr>
        <w:t>ة</w:t>
      </w:r>
      <w:r>
        <w:rPr>
          <w:rFonts w:cs="Simplified Arabic" w:hint="cs"/>
          <w:sz w:val="28"/>
          <w:szCs w:val="28"/>
          <w:rtl/>
        </w:rPr>
        <w:t xml:space="preserve"> إلى </w:t>
      </w:r>
      <w:proofErr w:type="spellStart"/>
      <w:r>
        <w:rPr>
          <w:rFonts w:cs="Simplified Arabic" w:hint="cs"/>
          <w:sz w:val="28"/>
          <w:szCs w:val="28"/>
          <w:rtl/>
        </w:rPr>
        <w:t>سنكرونية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و </w:t>
      </w:r>
      <w:proofErr w:type="spellStart"/>
      <w:r>
        <w:rPr>
          <w:rFonts w:cs="Simplified Arabic" w:hint="cs"/>
          <w:sz w:val="28"/>
          <w:szCs w:val="28"/>
          <w:rtl/>
        </w:rPr>
        <w:t>دياكرونية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الأشكال والأجناس الأدبية ، بالنشاط العام للتاريخ في حدّ ذاته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5"/>
        <w:t>( 109 )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109B75E2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لقد مارس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نقده على المدرستين لكنّه لم يوار فضلهما في تشكيل أطروحة جديدة </w:t>
      </w:r>
      <w:proofErr w:type="gramStart"/>
      <w:r>
        <w:rPr>
          <w:rFonts w:cs="Simplified Arabic" w:hint="cs"/>
          <w:sz w:val="28"/>
          <w:szCs w:val="28"/>
          <w:rtl/>
        </w:rPr>
        <w:t>عنده ،</w:t>
      </w:r>
      <w:proofErr w:type="gramEnd"/>
      <w:r>
        <w:rPr>
          <w:rFonts w:cs="Simplified Arabic" w:hint="cs"/>
          <w:sz w:val="28"/>
          <w:szCs w:val="28"/>
          <w:rtl/>
        </w:rPr>
        <w:t xml:space="preserve"> هذه الأطروحة التي سعى من خلالها إلى التوفيق بين المزاعم النظرية لكلّ من الاتجاهين : (( و قد انتهى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من محاولاته في التغلّب على هذا الانقسام إلى رؤية جديدة (...) و قد أطلق على هذه الرؤية جمالية الاستقبال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6"/>
        <w:t>( 110 )</w:t>
      </w:r>
      <w:r>
        <w:rPr>
          <w:rFonts w:cs="Simplified Arabic" w:hint="cs"/>
          <w:sz w:val="28"/>
          <w:szCs w:val="28"/>
          <w:rtl/>
        </w:rPr>
        <w:t xml:space="preserve"> . إنّ الفجوة بين المعرفة الجمالية و المعرفة التاريخية إذن ، يجب أن نتخطاها بخطوة عملاقة و متأنّية ، حتى نجمع بين التاريخ و الأدب ، أو حتى نصطلح على مفهوم جديد يحدّده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بــ : تاريخ الأدب ، و هي النظرة </w:t>
      </w:r>
      <w:proofErr w:type="spellStart"/>
      <w:r>
        <w:rPr>
          <w:rFonts w:cs="Simplified Arabic" w:hint="cs"/>
          <w:sz w:val="28"/>
          <w:szCs w:val="28"/>
          <w:rtl/>
        </w:rPr>
        <w:t>التجاوزية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التي تخطى بها الحدود التي وقفت عندها المدرستان ، و قصرت مفاهيمها على كلّ ما تعلّق بالإنتاج الفنّي و كيفية تمثّل هذا الإنتاج ؛ لقد آن للبحث الأدبي أن يسعى نحو القارئ و التلقي </w:t>
      </w:r>
      <w:proofErr w:type="spellStart"/>
      <w:r>
        <w:rPr>
          <w:sz w:val="28"/>
          <w:szCs w:val="28"/>
        </w:rPr>
        <w:t>Réception</w:t>
      </w:r>
      <w:proofErr w:type="spellEnd"/>
      <w:r>
        <w:rPr>
          <w:rFonts w:cs="Simplified Arabic" w:hint="cs"/>
          <w:sz w:val="28"/>
          <w:szCs w:val="28"/>
          <w:rtl/>
        </w:rPr>
        <w:t xml:space="preserve"> كاشفا بذلك واقع العلاقة بين العمل و جمهوره ( قرائه ) ، في بُعدها الاجتماعي و الجمالي ، لذلك فإنّ القارئ هو مركز العملية النقدية و المراجعة التاريخية و الجمالية لأيّ عمل فنّي أو أدبي ، و هو الذي يؤسّس لهذا البُعد الناتج عن إرادة واعية في تفعيل استجابته نحو الإستراتيجي</w:t>
      </w:r>
      <w:r>
        <w:rPr>
          <w:rFonts w:cs="Simplified Arabic" w:hint="eastAsia"/>
          <w:sz w:val="28"/>
          <w:szCs w:val="28"/>
          <w:rtl/>
        </w:rPr>
        <w:t>ة</w:t>
      </w:r>
      <w:r>
        <w:rPr>
          <w:rFonts w:cs="Simplified Arabic" w:hint="cs"/>
          <w:sz w:val="28"/>
          <w:szCs w:val="28"/>
          <w:rtl/>
        </w:rPr>
        <w:t xml:space="preserve"> النصّية ، و هذا ما حاولت المدرستان أن تغفله و تضعه على هامش العملية النقدية و القرائية ، يقول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كلا المنهجين يمرّ على القارئ من دون أيّ اعتبار له و لدوره الخاص (...) في حين أنّ العمل مُوجّه قبل كلّ شيء إلى هذا القارئ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7"/>
        <w:t>( 111 )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37062888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    إنّ العمل الأدبي بدوره لا يجد لنفسه موضعا داخل التاريخ دون المشاركة الفعّالة لهؤلاء القُرّاء الذين </w:t>
      </w:r>
      <w:proofErr w:type="gramStart"/>
      <w:r>
        <w:rPr>
          <w:rFonts w:cs="Simplified Arabic" w:hint="cs"/>
          <w:sz w:val="28"/>
          <w:szCs w:val="28"/>
          <w:rtl/>
        </w:rPr>
        <w:t>وُجّه  إليهم</w:t>
      </w:r>
      <w:proofErr w:type="gramEnd"/>
      <w:r>
        <w:rPr>
          <w:rFonts w:cs="Simplified Arabic" w:hint="cs"/>
          <w:sz w:val="28"/>
          <w:szCs w:val="28"/>
          <w:rtl/>
        </w:rPr>
        <w:t xml:space="preserve"> ، و تدخُّل هؤلاء القرّاء هو الذي يُفعّل أيضا الخبرة الأدبية ، حيث يصبح من الممكن العبور من القراءة البسيطة المنفعلة إلى قراءة واعية و فاعلة ، و من قراءة ساذجة إلى فهم نقدي مؤسَّس . إنّ منطق العلاقة بين العمل و القارئ هو منطق المحاورة و المساءلة ، أو منطق السؤال و الجواب كما سبق لنا مطالعته مع  </w:t>
      </w:r>
      <w:proofErr w:type="spellStart"/>
      <w:r>
        <w:rPr>
          <w:rFonts w:cs="Simplified Arabic" w:hint="cs"/>
          <w:sz w:val="28"/>
          <w:szCs w:val="28"/>
          <w:rtl/>
        </w:rPr>
        <w:t>غادمير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Gadamer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8"/>
        <w:t>( 112 )</w:t>
      </w:r>
      <w:r>
        <w:rPr>
          <w:rFonts w:cs="Simplified Arabic" w:hint="cs"/>
          <w:sz w:val="28"/>
          <w:szCs w:val="28"/>
          <w:rtl/>
        </w:rPr>
        <w:t xml:space="preserve"> ، فهو بالتالي منطق اللقاء بين العمل و جمهوره الأوّل المزامن للعمل ، و منطق المحاورة بين القطبين في أفق لقائهما ضمن مرحلة تاريخية معيّنة ، مما يتيح لهذا الجمهور أن ينتج حكما جماليا متضَمّنا داخل فعالية استقباله لهذا العمل ، لكنّه حكم يُحيل إلى مرجعية الأحكام التي قُرئت بها الأعمال السابقة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9"/>
        <w:t>( 113 )</w:t>
      </w:r>
      <w:r>
        <w:rPr>
          <w:rFonts w:cs="Simplified Arabic" w:hint="cs"/>
          <w:sz w:val="28"/>
          <w:szCs w:val="28"/>
          <w:rtl/>
        </w:rPr>
        <w:t xml:space="preserve"> .كما أنّ هذا الفهم المبدئي للعمل يمكنه أن يتطوّر من جيل إلى جيل ، و يشكّل بالتالي سلسلة من الاستقبالات يمكنها أن تؤكّد الأهمّية التاريخية للعمل ، هذه التاريخية التي تنفي عن العمل صورة أنّه سيعرض نفسه في كلّ مرّ ة بالشكل الذي ظهر به سابقا ، لذلك ، يقول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الأدب ،  باعتباره استمرارا حدثيا ، لا يمكنه أن ينشأ إلاّ في اللحظة التي يصبح فيها موضوعا للخبرة الجمالية للمعاصرين و كذا الأجيال القادمة (...) بحسب أفق التوقّع الخاص بهم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0"/>
        <w:t>( 114 )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024DC38D" w14:textId="77777777" w:rsidR="00D2208D" w:rsidRDefault="00D2208D" w:rsidP="00D2208D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</w:t>
      </w:r>
    </w:p>
    <w:p w14:paraId="4B59F5F9" w14:textId="77777777" w:rsidR="007C28B6" w:rsidRDefault="007C28B6"/>
    <w:sectPr w:rsidR="007C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E929" w14:textId="77777777" w:rsidR="00547D2E" w:rsidRDefault="00547D2E" w:rsidP="00D2208D">
      <w:r>
        <w:separator/>
      </w:r>
    </w:p>
  </w:endnote>
  <w:endnote w:type="continuationSeparator" w:id="0">
    <w:p w14:paraId="39F3B669" w14:textId="77777777" w:rsidR="00547D2E" w:rsidRDefault="00547D2E" w:rsidP="00D2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b Times New Roman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22F" w14:textId="77777777" w:rsidR="00547D2E" w:rsidRDefault="00547D2E" w:rsidP="00D2208D">
      <w:r>
        <w:separator/>
      </w:r>
    </w:p>
  </w:footnote>
  <w:footnote w:type="continuationSeparator" w:id="0">
    <w:p w14:paraId="44A8F564" w14:textId="77777777" w:rsidR="00547D2E" w:rsidRDefault="00547D2E" w:rsidP="00D2208D">
      <w:r>
        <w:continuationSeparator/>
      </w:r>
    </w:p>
  </w:footnote>
  <w:footnote w:id="1">
    <w:p w14:paraId="7C53990A" w14:textId="77777777" w:rsidR="00D2208D" w:rsidRDefault="00D2208D" w:rsidP="00D2208D">
      <w:pPr>
        <w:pStyle w:val="Notedebasdepage"/>
        <w:rPr>
          <w:sz w:val="24"/>
          <w:szCs w:val="24"/>
        </w:rPr>
      </w:pPr>
      <w:r>
        <w:rPr>
          <w:rStyle w:val="Appelnotedebasdep"/>
        </w:rPr>
        <w:t>( 105 )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2"/>
          <w:szCs w:val="22"/>
        </w:rPr>
        <w:t>jauss</w:t>
      </w:r>
      <w:proofErr w:type="spellEnd"/>
      <w:r>
        <w:rPr>
          <w:sz w:val="22"/>
          <w:szCs w:val="22"/>
        </w:rPr>
        <w:t xml:space="preserve"> ; pour </w:t>
      </w:r>
      <w:proofErr w:type="spellStart"/>
      <w:r>
        <w:rPr>
          <w:sz w:val="22"/>
          <w:szCs w:val="22"/>
        </w:rPr>
        <w:t>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ésthétique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réception</w:t>
      </w:r>
      <w:proofErr w:type="spellEnd"/>
      <w:r>
        <w:rPr>
          <w:sz w:val="22"/>
          <w:szCs w:val="22"/>
        </w:rPr>
        <w:t xml:space="preserve"> , p 40</w:t>
      </w:r>
      <w:r>
        <w:rPr>
          <w:sz w:val="24"/>
          <w:szCs w:val="24"/>
        </w:rPr>
        <w:t xml:space="preserve"> .                                                                                                                                      </w:t>
      </w:r>
    </w:p>
  </w:footnote>
  <w:footnote w:id="2">
    <w:p w14:paraId="2E2303E8" w14:textId="77777777" w:rsidR="00D2208D" w:rsidRDefault="00D2208D" w:rsidP="00D2208D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( 106 )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 xml:space="preserve">IBID ; p </w:t>
      </w:r>
      <w:proofErr w:type="gramStart"/>
      <w:r>
        <w:rPr>
          <w:sz w:val="22"/>
          <w:szCs w:val="22"/>
        </w:rPr>
        <w:t>41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</w:footnote>
  <w:footnote w:id="3">
    <w:p w14:paraId="10599BA6" w14:textId="77777777" w:rsidR="00D2208D" w:rsidRDefault="00D2208D" w:rsidP="00D2208D">
      <w:pPr>
        <w:pStyle w:val="Notedebasdepage"/>
        <w:rPr>
          <w:sz w:val="24"/>
          <w:szCs w:val="24"/>
        </w:rPr>
      </w:pPr>
      <w:r>
        <w:rPr>
          <w:rStyle w:val="Appelnotedebasdep"/>
        </w:rPr>
        <w:t>( 107 )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 xml:space="preserve">IBID ; p </w:t>
      </w:r>
      <w:proofErr w:type="gramStart"/>
      <w:r>
        <w:rPr>
          <w:sz w:val="22"/>
          <w:szCs w:val="22"/>
        </w:rPr>
        <w:t>41 .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</w:footnote>
  <w:footnote w:id="4">
    <w:p w14:paraId="58B4E3E7" w14:textId="77777777" w:rsidR="00D2208D" w:rsidRDefault="00D2208D" w:rsidP="00D2208D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( 108 )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2"/>
          <w:szCs w:val="22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2"/>
          <w:szCs w:val="22"/>
        </w:rPr>
        <w:t xml:space="preserve">IBID ; p </w:t>
      </w:r>
      <w:proofErr w:type="gramStart"/>
      <w:r>
        <w:rPr>
          <w:sz w:val="22"/>
          <w:szCs w:val="22"/>
        </w:rPr>
        <w:t>42 .</w:t>
      </w:r>
      <w:proofErr w:type="gramEnd"/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</w:footnote>
  <w:footnote w:id="5">
    <w:p w14:paraId="2E980264" w14:textId="77777777" w:rsidR="00D2208D" w:rsidRDefault="00D2208D" w:rsidP="00D2208D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( 109 )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 xml:space="preserve">  IBID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p 43</w:t>
      </w:r>
      <w:r>
        <w:rPr>
          <w:sz w:val="24"/>
          <w:szCs w:val="24"/>
        </w:rPr>
        <w:t xml:space="preserve"> .                                                                                                                   </w:t>
      </w:r>
    </w:p>
  </w:footnote>
  <w:footnote w:id="6">
    <w:p w14:paraId="18A07845" w14:textId="77777777" w:rsidR="00D2208D" w:rsidRDefault="00D2208D" w:rsidP="00D2208D">
      <w:pPr>
        <w:pStyle w:val="Notedebasdepage"/>
        <w:rPr>
          <w:sz w:val="22"/>
          <w:szCs w:val="22"/>
          <w:rtl/>
        </w:rPr>
      </w:pPr>
      <w:r>
        <w:rPr>
          <w:rStyle w:val="Appelnotedebasdep"/>
        </w:rPr>
        <w:t>( 110 )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محمود عباس عبد </w:t>
      </w:r>
      <w:proofErr w:type="gramStart"/>
      <w:r>
        <w:rPr>
          <w:rFonts w:hint="cs"/>
          <w:sz w:val="22"/>
          <w:szCs w:val="22"/>
          <w:rtl/>
        </w:rPr>
        <w:t>الواحد :</w:t>
      </w:r>
      <w:proofErr w:type="gramEnd"/>
      <w:r>
        <w:rPr>
          <w:rFonts w:hint="cs"/>
          <w:sz w:val="22"/>
          <w:szCs w:val="22"/>
          <w:rtl/>
        </w:rPr>
        <w:t xml:space="preserve"> قراءة النصّ و جماليات التلقي ، ص 27 .</w:t>
      </w:r>
    </w:p>
  </w:footnote>
  <w:footnote w:id="7">
    <w:p w14:paraId="5F329C8C" w14:textId="77777777" w:rsidR="00D2208D" w:rsidRDefault="00D2208D" w:rsidP="00D2208D">
      <w:pPr>
        <w:pStyle w:val="Notedebasdepage"/>
        <w:spacing w:before="120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( 111 )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r>
        <w:rPr>
          <w:sz w:val="22"/>
          <w:szCs w:val="22"/>
          <w:lang w:val="fr-FR"/>
        </w:rPr>
        <w:t>IBID ; p 44</w:t>
      </w:r>
      <w:r>
        <w:rPr>
          <w:sz w:val="24"/>
          <w:szCs w:val="24"/>
          <w:lang w:val="fr-FR"/>
        </w:rPr>
        <w:t xml:space="preserve">.                                                                                                                      </w:t>
      </w:r>
    </w:p>
  </w:footnote>
  <w:footnote w:id="8">
    <w:p w14:paraId="33AC8A84" w14:textId="77777777" w:rsidR="00D2208D" w:rsidRDefault="00D2208D" w:rsidP="00D2208D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( 112 )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r>
        <w:rPr>
          <w:sz w:val="22"/>
          <w:szCs w:val="22"/>
          <w:lang w:val="fr-FR"/>
        </w:rPr>
        <w:t xml:space="preserve">H.G. </w:t>
      </w:r>
      <w:proofErr w:type="spellStart"/>
      <w:r>
        <w:rPr>
          <w:sz w:val="22"/>
          <w:szCs w:val="22"/>
          <w:lang w:val="fr-FR"/>
        </w:rPr>
        <w:t>Gadamer</w:t>
      </w:r>
      <w:proofErr w:type="spellEnd"/>
      <w:r>
        <w:rPr>
          <w:sz w:val="22"/>
          <w:szCs w:val="22"/>
          <w:lang w:val="fr-FR"/>
        </w:rPr>
        <w:t xml:space="preserve"> ; vérité et méthode</w:t>
      </w:r>
      <w:proofErr w:type="gramStart"/>
      <w:r>
        <w:rPr>
          <w:sz w:val="22"/>
          <w:szCs w:val="22"/>
          <w:lang w:val="fr-FR"/>
        </w:rPr>
        <w:t xml:space="preserve"> ,</w:t>
      </w:r>
      <w:proofErr w:type="gramEnd"/>
      <w:r>
        <w:rPr>
          <w:sz w:val="22"/>
          <w:szCs w:val="22"/>
          <w:lang w:val="fr-FR"/>
        </w:rPr>
        <w:t xml:space="preserve"> p 393</w:t>
      </w:r>
      <w:r>
        <w:rPr>
          <w:sz w:val="24"/>
          <w:szCs w:val="24"/>
          <w:lang w:val="fr-FR"/>
        </w:rPr>
        <w:t xml:space="preserve"> .                                                                         </w:t>
      </w:r>
    </w:p>
  </w:footnote>
  <w:footnote w:id="9">
    <w:p w14:paraId="7D4AB3C1" w14:textId="77777777" w:rsidR="00D2208D" w:rsidRDefault="00D2208D" w:rsidP="00D2208D">
      <w:pPr>
        <w:pStyle w:val="Notedebasdepage"/>
        <w:rPr>
          <w:sz w:val="24"/>
          <w:szCs w:val="24"/>
          <w:lang w:val="fr-FR"/>
        </w:rPr>
      </w:pPr>
      <w:r>
        <w:rPr>
          <w:rStyle w:val="Appelnotedebasdep"/>
        </w:rPr>
        <w:t>( 113 )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réception , p 45 </w:t>
      </w:r>
      <w:r>
        <w:rPr>
          <w:sz w:val="24"/>
          <w:szCs w:val="24"/>
          <w:lang w:val="fr-FR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fr-FR"/>
        </w:rPr>
        <w:t xml:space="preserve">                                                     </w:t>
      </w:r>
    </w:p>
  </w:footnote>
  <w:footnote w:id="10">
    <w:p w14:paraId="35DEF018" w14:textId="77777777" w:rsidR="00D2208D" w:rsidRDefault="00D2208D" w:rsidP="00D2208D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( 114 )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 xml:space="preserve">IBID ; p </w:t>
      </w:r>
      <w:proofErr w:type="gramStart"/>
      <w:r>
        <w:rPr>
          <w:sz w:val="22"/>
          <w:szCs w:val="22"/>
        </w:rPr>
        <w:t>49 .</w:t>
      </w:r>
      <w:proofErr w:type="gramEnd"/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B6"/>
    <w:rsid w:val="003D4AB6"/>
    <w:rsid w:val="00547D2E"/>
    <w:rsid w:val="007C28B6"/>
    <w:rsid w:val="00D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F060"/>
  <w15:chartTrackingRefBased/>
  <w15:docId w15:val="{C9BC784F-A259-4F53-AB67-0974A76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2208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2208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D22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2</cp:revision>
  <dcterms:created xsi:type="dcterms:W3CDTF">2023-01-09T14:24:00Z</dcterms:created>
  <dcterms:modified xsi:type="dcterms:W3CDTF">2023-01-09T14:28:00Z</dcterms:modified>
</cp:coreProperties>
</file>