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40"/>
          <w:szCs w:val="40"/>
          <w:rtl/>
          <w:lang w:val="fr-FR"/>
        </w:rPr>
        <w:t xml:space="preserve">جماليات التلقي ( المحاضرة 1 )  الأستاذ : </w:t>
      </w:r>
      <w:proofErr w:type="spellStart"/>
      <w:r>
        <w:rPr>
          <w:rFonts w:cs="Simplified Arabic" w:hint="cs"/>
          <w:b/>
          <w:bCs/>
          <w:sz w:val="40"/>
          <w:szCs w:val="40"/>
          <w:rtl/>
          <w:lang w:val="fr-FR"/>
        </w:rPr>
        <w:t>دعيش</w:t>
      </w:r>
      <w:proofErr w:type="spellEnd"/>
    </w:p>
    <w:p w:rsidR="001174E7" w:rsidRPr="001174E7" w:rsidRDefault="001174E7" w:rsidP="001174E7">
      <w:pPr>
        <w:spacing w:before="120" w:after="240"/>
        <w:jc w:val="lowKashida"/>
        <w:rPr>
          <w:rFonts w:cs="Simplified Arabic"/>
          <w:b/>
          <w:bCs/>
          <w:sz w:val="36"/>
          <w:szCs w:val="36"/>
          <w:rtl/>
        </w:rPr>
      </w:pPr>
      <w:r w:rsidRPr="001174E7">
        <w:rPr>
          <w:rFonts w:cs="Simplified Arabic" w:hint="cs"/>
          <w:b/>
          <w:bCs/>
          <w:sz w:val="36"/>
          <w:szCs w:val="36"/>
          <w:rtl/>
        </w:rPr>
        <w:t>ماستر 2 ( دراسات نقدية )</w:t>
      </w:r>
    </w:p>
    <w:p w:rsidR="001174E7" w:rsidRDefault="001174E7" w:rsidP="001174E7">
      <w:pPr>
        <w:spacing w:before="120" w:after="240"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ياوس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: ( أفق التوقّع : المفهوم و المعالم ) .</w:t>
      </w:r>
    </w:p>
    <w:p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بدأ هـانز روبرت </w:t>
      </w:r>
      <w:proofErr w:type="spellStart"/>
      <w:r>
        <w:rPr>
          <w:rFonts w:cs="Simplified Arabic" w:hint="cs"/>
          <w:sz w:val="28"/>
          <w:szCs w:val="28"/>
          <w:rtl/>
        </w:rPr>
        <w:t>يـاوس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عمله النقدي ضمن مقـال بعنوان ( تاريخ الأدب ، تحدّ لنظرية  الأدب 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"/>
        <w:t>( 97 )</w:t>
      </w:r>
      <w:r>
        <w:rPr>
          <w:rFonts w:cs="Simplified Arabic" w:hint="cs"/>
          <w:sz w:val="28"/>
          <w:szCs w:val="28"/>
          <w:rtl/>
        </w:rPr>
        <w:t xml:space="preserve"> ، وهو أوّّل مقال افتتح به مؤلَّفه النقدي ( من أجل جمالية للاستقبال ) </w:t>
      </w:r>
      <w:r>
        <w:rPr>
          <w:rStyle w:val="Appelnotedebasdep"/>
          <w:sz w:val="28"/>
          <w:szCs w:val="28"/>
        </w:rPr>
        <w:t xml:space="preserve">Pour </w:t>
      </w:r>
      <w:proofErr w:type="spellStart"/>
      <w:r>
        <w:rPr>
          <w:rStyle w:val="Appelnotedebasdep"/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Appelnotedebasdep"/>
          <w:sz w:val="28"/>
          <w:szCs w:val="28"/>
        </w:rPr>
        <w:t>ésthétique</w:t>
      </w:r>
      <w:proofErr w:type="spellEnd"/>
      <w:r>
        <w:rPr>
          <w:rStyle w:val="Appelnotedebasdep"/>
          <w:sz w:val="28"/>
          <w:szCs w:val="28"/>
        </w:rPr>
        <w:t xml:space="preserve"> de la </w:t>
      </w:r>
      <w:proofErr w:type="spellStart"/>
      <w:r>
        <w:rPr>
          <w:rStyle w:val="Appelnotedebasdep"/>
          <w:sz w:val="28"/>
          <w:szCs w:val="28"/>
        </w:rPr>
        <w:t>réception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الذي حاول فيه تقديم نظرية تعيد النظر فيما يسمى بـ : تاريخ الأدب </w:t>
      </w:r>
      <w:proofErr w:type="spellStart"/>
      <w:r>
        <w:rPr>
          <w:sz w:val="28"/>
          <w:szCs w:val="28"/>
        </w:rPr>
        <w:t>Histoire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littérature</w:t>
      </w:r>
      <w:proofErr w:type="spellEnd"/>
      <w:r>
        <w:rPr>
          <w:rFonts w:cs="Simplified Arabic" w:hint="cs"/>
          <w:sz w:val="28"/>
          <w:szCs w:val="28"/>
          <w:rtl/>
        </w:rPr>
        <w:t xml:space="preserve"> ، منتقـدا بذلك صـورة تطبيق هـذا العلم داخل المدارس        و الجامعات الألمانية ، في ظلّ البرامج و المنظومات التعليمية  و التربوية ، و أنّ هذا التاريخ إنّما يعيش بمعزل و على هامش النشاط الثقافي للعصر الذي نعيشه ، حتى غدا لا يتجاوز إطار ما هو مدرسي أو حدود ثقافة العائلات البرجوازية التي تهتم بهذا التاريخ بشكل من الأشكال ؛ بل إنّ هذا التاريخ ، الذي كان يعبّر عن هويّة الأمم في الزمن الماضي ، لم يعد إلاّ مادة تقليدية تبلورت فيما يعرف بالتراث ، و أنّ هذا التراث بدوره لم يعد يجسّده إلاّ الكتب و الأعمال التي خلّفها أصحابها منذ ذلك الزمن السحيق ، ممّا أفضى إلى مؤشرات انقراض هذا التاريخ : (( إنّنا حين نعاين البرامج الجامعية ، فإنّنا نلحظ ضمنها بأنّّ التاريخ الأدبي في طريقه إلى الزوال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2"/>
        <w:t>( 98 )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كما ينتقد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، إلى جانب صورة التاريخ المُطبّق في المدارس و الجامعات ، صورة هذا التاريخ بين الأوساط الإعلامية و حركة النشر من دوريات و مجلات و موسوعات ، التي يبدو أنّها حلّت محلّ تاريخ الأدب في شكل أعمال جماعية قلّما تنشأ من محاولة الباحثين و الدارسين ؛ و إذا ما كان هناك بحث جاد فإنّّ هذا البحث عمل فردي تتكفّل بنشره دورية متخصّصة ، معيارها الصرامة القصوى في المناهج العلمية المطبقة ، إمّا أسلوبيا أو بلاغيا أو لسانيا أو </w:t>
      </w:r>
      <w:proofErr w:type="spellStart"/>
      <w:r>
        <w:rPr>
          <w:rFonts w:cs="Simplified Arabic" w:hint="cs"/>
          <w:sz w:val="28"/>
          <w:szCs w:val="28"/>
          <w:rtl/>
        </w:rPr>
        <w:t>سيميائيا</w:t>
      </w:r>
      <w:proofErr w:type="spellEnd"/>
      <w:r>
        <w:rPr>
          <w:rFonts w:cs="Simplified Arabic" w:hint="cs"/>
          <w:sz w:val="28"/>
          <w:szCs w:val="28"/>
          <w:rtl/>
        </w:rPr>
        <w:t xml:space="preserve">        أو اصطلاحيا ...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3"/>
        <w:t>( 99 )</w:t>
      </w:r>
      <w:r>
        <w:rPr>
          <w:rFonts w:cs="Simplified Arabic" w:hint="cs"/>
          <w:sz w:val="28"/>
          <w:szCs w:val="28"/>
          <w:rtl/>
        </w:rPr>
        <w:t xml:space="preserve"> . إنّ هذه الصرامة العلمية هي التي أملت على تاريخ الأدب الرؤية الموضوعية إلى الأحداث و الوقائع السابقة ، مُحاولة بذلك تطبيق منهج العلوم التجريبية الذي يفسّر الظواهر تفسيرا علّيا ، و يعيد في كلّ مرّة ، و مع كلّ تجربة تاريخية ، بناء التصوّرات و النتائج نفسها تبعا لكلّ تجربة </w:t>
      </w:r>
      <w:r>
        <w:rPr>
          <w:rFonts w:cs="Simplified Arabic" w:hint="cs"/>
          <w:sz w:val="28"/>
          <w:szCs w:val="28"/>
          <w:rtl/>
        </w:rPr>
        <w:lastRenderedPageBreak/>
        <w:t xml:space="preserve">سابقة ، لذلك فإنّ هذا التاريخ ، كما يناقشه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، يحاول جاهدا الابتعاد عن آلية التسجيل </w:t>
      </w:r>
      <w:proofErr w:type="spellStart"/>
      <w:r>
        <w:rPr>
          <w:rFonts w:cs="Simplified Arabic" w:hint="cs"/>
          <w:sz w:val="28"/>
          <w:szCs w:val="28"/>
          <w:rtl/>
        </w:rPr>
        <w:t>الكرونولوجي</w:t>
      </w:r>
      <w:proofErr w:type="spellEnd"/>
      <w:r>
        <w:rPr>
          <w:rFonts w:cs="Simplified Arabic" w:hint="cs"/>
          <w:sz w:val="28"/>
          <w:szCs w:val="28"/>
          <w:rtl/>
        </w:rPr>
        <w:t xml:space="preserve"> ( التعاقبي ) للأحداث و الوقائع ، هذا التسجيل البسيط الذي          يهتم بتصنيف المادة التاريخية حسب الاتجاهات العامة السائدة ، و وفق الأجناس الأدبية و معايير أخرى ، حتى يتسنّى له فيما بعد معالجة الأعمال و تناولها </w:t>
      </w:r>
      <w:proofErr w:type="spellStart"/>
      <w:r>
        <w:rPr>
          <w:rFonts w:cs="Simplified Arabic" w:hint="cs"/>
          <w:sz w:val="28"/>
          <w:szCs w:val="28"/>
          <w:rtl/>
        </w:rPr>
        <w:t>كرونولوجيا</w:t>
      </w:r>
      <w:proofErr w:type="spellEnd"/>
      <w:r>
        <w:rPr>
          <w:rFonts w:cs="Simplified Arabic" w:hint="cs"/>
          <w:sz w:val="28"/>
          <w:szCs w:val="28"/>
          <w:rtl/>
        </w:rPr>
        <w:t xml:space="preserve"> ( تعاقبيا ) ؛ ثمّ إنّ الاتجاه الثاني بدوره لم يكن كافيا للأخذ بزمام هذه المهمة ، و هو يسعى منشغلا برصد كبار المؤلّفين     و المبدعين ، متتبّعا حياتهم و سيرهم و كبريات أعمالهم ، و </w:t>
      </w:r>
      <w:proofErr w:type="spellStart"/>
      <w:r>
        <w:rPr>
          <w:rFonts w:cs="Simplified Arabic" w:hint="cs"/>
          <w:sz w:val="28"/>
          <w:szCs w:val="28"/>
          <w:rtl/>
        </w:rPr>
        <w:t>متقفيا</w:t>
      </w:r>
      <w:proofErr w:type="spellEnd"/>
      <w:r>
        <w:rPr>
          <w:rFonts w:cs="Simplified Arabic" w:hint="cs"/>
          <w:sz w:val="28"/>
          <w:szCs w:val="28"/>
          <w:rtl/>
        </w:rPr>
        <w:t xml:space="preserve"> أشهر ما وُجّه إليهم من أحكام تتعلّق بمجموع أعمالهم و كتاباتهم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4"/>
        <w:t>( 100 )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إنّ عملا بمثل هذا الشكل لا يعتبره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من باب التاريخ الأدبي ، بل إنّه لا يتعدى أن يكون صورة هيكلية للتاريخ </w:t>
      </w:r>
      <w:proofErr w:type="spellStart"/>
      <w:r>
        <w:rPr>
          <w:sz w:val="28"/>
          <w:szCs w:val="28"/>
        </w:rPr>
        <w:t>Squellette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histoire</w:t>
      </w:r>
      <w:proofErr w:type="spellEnd"/>
      <w:r>
        <w:rPr>
          <w:rFonts w:cs="Simplified Arabic" w:hint="cs"/>
          <w:sz w:val="28"/>
          <w:szCs w:val="28"/>
          <w:rtl/>
        </w:rPr>
        <w:t xml:space="preserve"> ، لذلك فإنّ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يقترح نموذجا بديلا للتاريخ الأدبي يستند على ما أسماه بــ : جمالية التلقي </w:t>
      </w:r>
      <w:proofErr w:type="spellStart"/>
      <w:r>
        <w:rPr>
          <w:sz w:val="28"/>
          <w:szCs w:val="28"/>
        </w:rPr>
        <w:t>ésthétique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réception</w:t>
      </w:r>
      <w:proofErr w:type="spellEnd"/>
      <w:r>
        <w:rPr>
          <w:rFonts w:cs="Simplified Arabic" w:hint="cs"/>
          <w:sz w:val="28"/>
          <w:szCs w:val="28"/>
          <w:rtl/>
        </w:rPr>
        <w:t xml:space="preserve"> ، و هو التصوّر الجديد الذي حاول من خلاله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الإفادة من أطروحة كلّ من الاتجاه الماركسي و الاتجاه </w:t>
      </w:r>
      <w:proofErr w:type="spellStart"/>
      <w:r>
        <w:rPr>
          <w:rFonts w:cs="Simplified Arabic" w:hint="cs"/>
          <w:sz w:val="28"/>
          <w:szCs w:val="28"/>
          <w:rtl/>
        </w:rPr>
        <w:t>الشكلاني</w:t>
      </w:r>
      <w:proofErr w:type="spellEnd"/>
      <w:r>
        <w:rPr>
          <w:rFonts w:cs="Simplified Arabic" w:hint="cs"/>
          <w:sz w:val="28"/>
          <w:szCs w:val="28"/>
          <w:rtl/>
        </w:rPr>
        <w:t xml:space="preserve"> في دراسة الأدب و تاريخه ، يقول </w:t>
      </w:r>
      <w:proofErr w:type="spellStart"/>
      <w:r>
        <w:rPr>
          <w:rFonts w:cs="Simplified Arabic" w:hint="cs"/>
          <w:sz w:val="28"/>
          <w:szCs w:val="28"/>
          <w:rtl/>
        </w:rPr>
        <w:t>هولب</w:t>
      </w:r>
      <w:proofErr w:type="spellEnd"/>
      <w:r>
        <w:rPr>
          <w:rFonts w:cs="Simplified Arabic" w:hint="cs"/>
          <w:sz w:val="28"/>
          <w:szCs w:val="28"/>
          <w:rtl/>
        </w:rPr>
        <w:t xml:space="preserve"> : (( و يمكن تحقيق هذا عن طريق الوفاء بالمطلب الماركسي في الوسائط التاريخية ، مع الاحتفاظ في الوقت نفسه بما أحرزه </w:t>
      </w:r>
      <w:proofErr w:type="spellStart"/>
      <w:r>
        <w:rPr>
          <w:rFonts w:cs="Simplified Arabic" w:hint="cs"/>
          <w:sz w:val="28"/>
          <w:szCs w:val="28"/>
          <w:rtl/>
        </w:rPr>
        <w:t>الشكلانيون</w:t>
      </w:r>
      <w:proofErr w:type="spellEnd"/>
      <w:r>
        <w:rPr>
          <w:rFonts w:cs="Simplified Arabic" w:hint="cs"/>
          <w:sz w:val="28"/>
          <w:szCs w:val="28"/>
          <w:rtl/>
        </w:rPr>
        <w:t xml:space="preserve"> من تقدم في مجال الإدراك الجمالي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5"/>
        <w:t>(101)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لقد حاول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، ضمن </w:t>
      </w:r>
      <w:proofErr w:type="spellStart"/>
      <w:r>
        <w:rPr>
          <w:rFonts w:cs="Simplified Arabic" w:hint="cs"/>
          <w:sz w:val="28"/>
          <w:szCs w:val="28"/>
          <w:rtl/>
        </w:rPr>
        <w:t>إوالية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المنظور التاريخي البديل ، التوفيق بين الانقسا</w:t>
      </w:r>
      <w:r>
        <w:rPr>
          <w:rFonts w:cs="Simplified Arabic" w:hint="eastAsia"/>
          <w:sz w:val="28"/>
          <w:szCs w:val="28"/>
          <w:rtl/>
        </w:rPr>
        <w:t>م</w:t>
      </w:r>
      <w:r>
        <w:rPr>
          <w:rFonts w:cs="Simplified Arabic" w:hint="cs"/>
          <w:sz w:val="28"/>
          <w:szCs w:val="28"/>
          <w:rtl/>
        </w:rPr>
        <w:t xml:space="preserve"> الفكري الحاصل بين مدرستين ، حول تفسير و تقييم الظاهرة الأدبية ، هما المدرسة التــاريخية  ( الماركسية )      و المدرسة الجمالية ( </w:t>
      </w:r>
      <w:proofErr w:type="spellStart"/>
      <w:r>
        <w:rPr>
          <w:rFonts w:cs="Simplified Arabic" w:hint="cs"/>
          <w:sz w:val="28"/>
          <w:szCs w:val="28"/>
          <w:rtl/>
        </w:rPr>
        <w:t>الشكـلانية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) </w:t>
      </w:r>
      <w:proofErr w:type="spellStart"/>
      <w:r>
        <w:rPr>
          <w:sz w:val="28"/>
          <w:szCs w:val="28"/>
        </w:rPr>
        <w:t>Marxisme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Formalisme</w:t>
      </w:r>
      <w:proofErr w:type="spellEnd"/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، ففي الوقت الذي كانت فيه المدرسة الأولى تقول بالانعكاس في الأثر الفنّي ، و كذا تقييم هذا الأثر بما يعيد تصوير التفاعلات الاجتماعية و التاريخية للعمل داخل العصر الذي وُجد فيه ، كانت المدرسة الثانية تدعو إلى الاعتقاد بالمنظور الجمالي ، و هو المنظور الذي يتعالى على التفسير التاريخي وعلى كلّ دراسة تحاول ربط النصّ أو العمل بجملة السياقات الخارجية التي ساهمت في إيجاده أو كانت شاهدا على   وجوده ؛ غير إنّ المحاولتين ( الماركسية / </w:t>
      </w:r>
      <w:proofErr w:type="spellStart"/>
      <w:r>
        <w:rPr>
          <w:rFonts w:cs="Simplified Arabic" w:hint="cs"/>
          <w:sz w:val="28"/>
          <w:szCs w:val="28"/>
          <w:rtl/>
        </w:rPr>
        <w:t>الشكلانية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) ، كما يشير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: ( لم تفلح بعد ، في إعطاء ميلاد لبعض التواريخ الكبرى للأدب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6"/>
        <w:t>( 102 )</w:t>
      </w:r>
      <w:r>
        <w:rPr>
          <w:rFonts w:cs="Simplified Arabic" w:hint="cs"/>
          <w:sz w:val="28"/>
          <w:szCs w:val="28"/>
          <w:rtl/>
        </w:rPr>
        <w:t xml:space="preserve"> ، لذا فإنّ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يمارس بداية نقده على المدرستين و التعارض الحاصل بينهما ، كاشفا بذلك شكل و مضمون القصور الذي تخلّل منظور  و محاولة كلّ مدرسة .</w:t>
      </w:r>
    </w:p>
    <w:p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 xml:space="preserve">    إنّ القصور الذي يسجلّه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على المدرسة الماركسية ، قولها بالانعكاس في ممارسة الأدب     و إنتاج الفنّ ، و أنّ الأدب ما هو إلاّ نقل و تصوير لجملة الوقائع و الأحداث التاريخية المزامنة للعمل ، في حين يؤكد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على ضرورة الاعتقاد بوظيفة الفنّ و الأدب في تحوير و بلورة هذه الوقائع و الأحداث ، و لمَ لا المشاركة في إنتاجها و إيجادها ؟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7"/>
        <w:t>(</w:t>
      </w:r>
      <w:r>
        <w:rPr>
          <w:rStyle w:val="Appelnotedebasdep"/>
          <w:rFonts w:cs="Simplified Arabic"/>
          <w:sz w:val="28"/>
          <w:szCs w:val="28"/>
          <w:rtl/>
        </w:rPr>
        <w:sym w:font="Symbol" w:char="F02A"/>
      </w:r>
      <w:r>
        <w:rPr>
          <w:rStyle w:val="Appelnotedebasdep"/>
          <w:rFonts w:cs="Simplified Arabic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، و بالتالي فإنّ تاريخ الفنّ       و تاريخ الأدب ليسا منفصلين عن اشتغال الحياة الواقعية اليومية ، و ليسا مستقلين عن واقع التفاعل الذي يُفترض أن يكون حاصلا بين ما هو فنّي و ما هو واقعي ، يقول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:  (( إنّ تاريخ الأدب و تاريخ الفنّ لا يمكنهما أن يحافظا على تجليهما المستقل ، إذا ما عرفنا بأنّ الإنتاج في هذا المجال يتضمن الإنتاج الاقتصادي و الممارسة الاجتماعية ، و أنّ الإنتاج الفنّي نفسه ، يشارك في سيرورة الحياة الواقعية )) 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8"/>
        <w:t>( 103 )</w:t>
      </w:r>
      <w:r>
        <w:rPr>
          <w:rFonts w:cs="Simplified Arabic" w:hint="cs"/>
          <w:sz w:val="28"/>
          <w:szCs w:val="28"/>
          <w:rtl/>
        </w:rPr>
        <w:t xml:space="preserve"> . لذلك فإنّ الفنّ و الأدب إنّما يمارسان وجودهما ارتبـاطا ، بالوعي التاريخي ، و داخل الوظيفة الاجتماعية التي تربط بينهما و بين هذا الوعي ، كما أنّ الأدب ليس مرآة سلبية للعالم الخارجي ، و هو انتقاد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لكلّ من </w:t>
      </w:r>
      <w:proofErr w:type="spellStart"/>
      <w:r>
        <w:rPr>
          <w:rFonts w:cs="Simplified Arabic" w:hint="cs"/>
          <w:sz w:val="28"/>
          <w:szCs w:val="28"/>
          <w:rtl/>
        </w:rPr>
        <w:t>لوكاتش</w:t>
      </w:r>
      <w:proofErr w:type="spellEnd"/>
      <w:r>
        <w:rPr>
          <w:rFonts w:cs="Simplified Arabic" w:hint="cs"/>
          <w:sz w:val="28"/>
          <w:szCs w:val="28"/>
          <w:rtl/>
        </w:rPr>
        <w:t xml:space="preserve"> و لوسيان </w:t>
      </w:r>
      <w:proofErr w:type="spellStart"/>
      <w:r>
        <w:rPr>
          <w:rFonts w:cs="Simplified Arabic" w:hint="cs"/>
          <w:sz w:val="28"/>
          <w:szCs w:val="28"/>
          <w:rtl/>
        </w:rPr>
        <w:t>غولدمان</w:t>
      </w:r>
      <w:proofErr w:type="spellEnd"/>
      <w:r>
        <w:rPr>
          <w:rFonts w:cs="Simplified Arabic" w:hint="cs"/>
          <w:sz w:val="28"/>
          <w:szCs w:val="28"/>
          <w:rtl/>
        </w:rPr>
        <w:t xml:space="preserve"> ، بل إنّ الأدب فاعل في هذا العالم و منفعل به ، مؤثّر فيه و متأثر به ، و هذا مـا يفسّر امتداد العمل الذي أُنتج في ذلك المـاضي ( التراث ) إلى تلقّي الزمن الحـاضر ، رغم احتفـاظه ، علـى حدّ فرض الماركسية ، بصورة و وقائع العصر الذي وُجد فيه : (( إنّ الحطّ من الفنّ ، حتى يكون مجرّد انعكاس بسيط ، هو أيضا الحدّ من الأثر الذي ينتجه هذا الفنّ في معرفة الأشياء التي كانت معروفة من قبل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9"/>
        <w:t>( 104 )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:rsidR="0030355B" w:rsidRPr="001174E7" w:rsidRDefault="0030355B">
      <w:pPr>
        <w:rPr>
          <w:lang w:val="fr-FR"/>
        </w:rPr>
      </w:pPr>
    </w:p>
    <w:sectPr w:rsidR="0030355B" w:rsidRPr="001174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701" w:right="1985" w:bottom="1440" w:left="1134" w:header="709" w:footer="0" w:gutter="0"/>
      <w:pgNumType w:start="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179D" w:rsidRDefault="00DC179D" w:rsidP="001174E7">
      <w:r>
        <w:separator/>
      </w:r>
    </w:p>
  </w:endnote>
  <w:endnote w:type="continuationSeparator" w:id="0">
    <w:p w:rsidR="00DC179D" w:rsidRDefault="00DC179D" w:rsidP="0011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234" w:rsidRDefault="00000000">
    <w:pPr>
      <w:pStyle w:val="Pieddepage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234" w:rsidRDefault="00000000">
    <w:pPr>
      <w:pStyle w:val="Pieddepage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234" w:rsidRDefault="00000000">
    <w:pPr>
      <w:pStyle w:val="Pieddepage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179D" w:rsidRDefault="00DC179D" w:rsidP="001174E7">
      <w:r>
        <w:separator/>
      </w:r>
    </w:p>
  </w:footnote>
  <w:footnote w:type="continuationSeparator" w:id="0">
    <w:p w:rsidR="00DC179D" w:rsidRDefault="00DC179D" w:rsidP="001174E7">
      <w:r>
        <w:continuationSeparator/>
      </w:r>
    </w:p>
  </w:footnote>
  <w:footnote w:id="1">
    <w:p w:rsidR="001174E7" w:rsidRDefault="001174E7" w:rsidP="001174E7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( 97 )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4"/>
          <w:szCs w:val="24"/>
        </w:rPr>
        <w:t xml:space="preserve">  </w:t>
      </w:r>
      <w:r>
        <w:rPr>
          <w:sz w:val="22"/>
          <w:szCs w:val="22"/>
        </w:rPr>
        <w:t xml:space="preserve">IBID ; p </w:t>
      </w:r>
      <w:proofErr w:type="spellStart"/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 xml:space="preserve"> 21 - 80</w:t>
      </w:r>
      <w:r>
        <w:rPr>
          <w:sz w:val="24"/>
          <w:szCs w:val="24"/>
        </w:rPr>
        <w:t xml:space="preserve"> .                                                                                                                                                 </w:t>
      </w:r>
    </w:p>
  </w:footnote>
  <w:footnote w:id="2">
    <w:p w:rsidR="001174E7" w:rsidRDefault="001174E7" w:rsidP="001174E7">
      <w:pPr>
        <w:pStyle w:val="Notedebasdepage"/>
        <w:spacing w:before="120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( 98 )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</w:t>
      </w:r>
      <w:r>
        <w:rPr>
          <w:sz w:val="22"/>
          <w:szCs w:val="22"/>
          <w:lang w:val="fr-FR"/>
        </w:rPr>
        <w:t xml:space="preserve"> IBID , p 22</w:t>
      </w:r>
      <w:r>
        <w:rPr>
          <w:sz w:val="24"/>
          <w:szCs w:val="24"/>
          <w:lang w:val="fr-FR"/>
        </w:rPr>
        <w:t xml:space="preserve"> .                                                                                                                      </w:t>
      </w:r>
    </w:p>
  </w:footnote>
  <w:footnote w:id="3">
    <w:p w:rsidR="001174E7" w:rsidRDefault="001174E7" w:rsidP="001174E7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( 99 )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jauss</w:t>
      </w:r>
      <w:proofErr w:type="spellEnd"/>
      <w:r>
        <w:rPr>
          <w:sz w:val="22"/>
          <w:szCs w:val="22"/>
          <w:lang w:val="fr-FR"/>
        </w:rPr>
        <w:t xml:space="preserve"> ; pour une </w:t>
      </w:r>
      <w:proofErr w:type="spellStart"/>
      <w:r>
        <w:rPr>
          <w:sz w:val="22"/>
          <w:szCs w:val="22"/>
          <w:lang w:val="fr-FR"/>
        </w:rPr>
        <w:t>ésthétique</w:t>
      </w:r>
      <w:proofErr w:type="spellEnd"/>
      <w:r>
        <w:rPr>
          <w:sz w:val="22"/>
          <w:szCs w:val="22"/>
          <w:lang w:val="fr-FR"/>
        </w:rPr>
        <w:t xml:space="preserve"> de la réception </w:t>
      </w:r>
      <w:r>
        <w:rPr>
          <w:sz w:val="24"/>
          <w:szCs w:val="24"/>
          <w:lang w:val="fr-FR"/>
        </w:rPr>
        <w:t xml:space="preserve">,  </w:t>
      </w:r>
      <w:r>
        <w:rPr>
          <w:sz w:val="22"/>
          <w:szCs w:val="22"/>
          <w:lang w:val="fr-FR"/>
        </w:rPr>
        <w:t xml:space="preserve">p 22 </w:t>
      </w:r>
      <w:r>
        <w:rPr>
          <w:sz w:val="24"/>
          <w:szCs w:val="24"/>
          <w:lang w:val="fr-FR"/>
        </w:rPr>
        <w:t xml:space="preserve">.                                                                                                                              </w:t>
      </w:r>
    </w:p>
  </w:footnote>
  <w:footnote w:id="4">
    <w:p w:rsidR="001174E7" w:rsidRDefault="001174E7" w:rsidP="001174E7">
      <w:pPr>
        <w:pStyle w:val="Notedebasdepage"/>
        <w:rPr>
          <w:sz w:val="24"/>
          <w:szCs w:val="24"/>
        </w:rPr>
      </w:pPr>
      <w:r>
        <w:rPr>
          <w:rStyle w:val="Appelnotedebasdep"/>
        </w:rPr>
        <w:t>( 100 )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>IBID ; p 23</w:t>
      </w:r>
      <w:r>
        <w:rPr>
          <w:sz w:val="24"/>
          <w:szCs w:val="24"/>
        </w:rPr>
        <w:t xml:space="preserve"> .                                                                                                                           </w:t>
      </w:r>
    </w:p>
  </w:footnote>
  <w:footnote w:id="5">
    <w:p w:rsidR="001174E7" w:rsidRDefault="001174E7" w:rsidP="001174E7">
      <w:pPr>
        <w:pStyle w:val="Notedebasdepage"/>
        <w:rPr>
          <w:sz w:val="24"/>
          <w:szCs w:val="24"/>
          <w:rtl/>
        </w:rPr>
      </w:pPr>
      <w:r>
        <w:rPr>
          <w:rStyle w:val="Appelnotedebasdep"/>
        </w:rPr>
        <w:t>(101)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rFonts w:hint="cs"/>
          <w:sz w:val="22"/>
          <w:szCs w:val="22"/>
          <w:rtl/>
        </w:rPr>
        <w:t xml:space="preserve">روبرت </w:t>
      </w:r>
      <w:proofErr w:type="spellStart"/>
      <w:r>
        <w:rPr>
          <w:rFonts w:hint="cs"/>
          <w:sz w:val="22"/>
          <w:szCs w:val="22"/>
          <w:rtl/>
        </w:rPr>
        <w:t>هولب</w:t>
      </w:r>
      <w:proofErr w:type="spellEnd"/>
      <w:r>
        <w:rPr>
          <w:rFonts w:hint="cs"/>
          <w:sz w:val="22"/>
          <w:szCs w:val="22"/>
          <w:rtl/>
        </w:rPr>
        <w:t xml:space="preserve"> : نظرية التلقي ، ص 152 .</w:t>
      </w:r>
    </w:p>
  </w:footnote>
  <w:footnote w:id="6">
    <w:p w:rsidR="001174E7" w:rsidRDefault="001174E7" w:rsidP="001174E7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( 102 )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proofErr w:type="spellStart"/>
      <w:r>
        <w:rPr>
          <w:sz w:val="22"/>
          <w:szCs w:val="22"/>
          <w:lang w:val="fr-FR"/>
        </w:rPr>
        <w:t>jauss</w:t>
      </w:r>
      <w:proofErr w:type="spellEnd"/>
      <w:r>
        <w:rPr>
          <w:sz w:val="22"/>
          <w:szCs w:val="22"/>
          <w:lang w:val="fr-FR"/>
        </w:rPr>
        <w:t xml:space="preserve"> ; pour une </w:t>
      </w:r>
      <w:proofErr w:type="spellStart"/>
      <w:r>
        <w:rPr>
          <w:sz w:val="22"/>
          <w:szCs w:val="22"/>
          <w:lang w:val="fr-FR"/>
        </w:rPr>
        <w:t>ésthétique</w:t>
      </w:r>
      <w:proofErr w:type="spellEnd"/>
      <w:r>
        <w:rPr>
          <w:sz w:val="22"/>
          <w:szCs w:val="22"/>
          <w:lang w:val="fr-FR"/>
        </w:rPr>
        <w:t xml:space="preserve"> de la réception , p 31</w:t>
      </w:r>
      <w:r>
        <w:rPr>
          <w:sz w:val="24"/>
          <w:szCs w:val="24"/>
          <w:lang w:val="fr-FR"/>
        </w:rPr>
        <w:t xml:space="preserve"> .                                                                 </w:t>
      </w:r>
    </w:p>
  </w:footnote>
  <w:footnote w:id="7">
    <w:p w:rsidR="001174E7" w:rsidRDefault="001174E7" w:rsidP="001174E7">
      <w:pPr>
        <w:pStyle w:val="Notedebasdepage"/>
        <w:jc w:val="lowKashida"/>
        <w:rPr>
          <w:sz w:val="22"/>
          <w:szCs w:val="22"/>
          <w:rtl/>
        </w:rPr>
      </w:pPr>
      <w:r>
        <w:rPr>
          <w:rStyle w:val="Appelnotedebasdep"/>
          <w:sz w:val="28"/>
          <w:szCs w:val="28"/>
        </w:rPr>
        <w:t>(</w:t>
      </w:r>
      <w:r>
        <w:rPr>
          <w:rStyle w:val="Appelnotedebasdep"/>
          <w:sz w:val="28"/>
          <w:szCs w:val="28"/>
        </w:rPr>
        <w:sym w:font="Symbol" w:char="F02A"/>
      </w:r>
      <w:r>
        <w:rPr>
          <w:rStyle w:val="Appelnotedebasdep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2"/>
          <w:szCs w:val="22"/>
          <w:rtl/>
        </w:rPr>
        <w:t>- نجد أنّ سارتر يعرّف الأدب بأنّه ليس نقلا حرفيا لجملة الوقائع و الأحداث ، بقدر ما هو أيضا تحوير و رؤية جديدة تتدخل فيها الحرّية الإنسانية ، يقول : (( إذن ، يمكننا أن نعرّف العمل الأدبي بأنّه تقديم خيالي للعالم في حدود ما يستلزم من الحرية الإنسانية )) . ينظر : سارتر : ما الأدب ، ص 73 .</w:t>
      </w:r>
    </w:p>
  </w:footnote>
  <w:footnote w:id="8">
    <w:p w:rsidR="001174E7" w:rsidRDefault="001174E7" w:rsidP="001174E7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( 103 )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>IBID</w:t>
      </w:r>
      <w:r>
        <w:rPr>
          <w:sz w:val="24"/>
          <w:szCs w:val="24"/>
        </w:rPr>
        <w:t xml:space="preserve"> , </w:t>
      </w:r>
      <w:r>
        <w:rPr>
          <w:sz w:val="22"/>
          <w:szCs w:val="22"/>
        </w:rPr>
        <w:t xml:space="preserve">p </w:t>
      </w:r>
      <w:proofErr w:type="spellStart"/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 xml:space="preserve"> 31 -32 </w:t>
      </w:r>
      <w:r>
        <w:rPr>
          <w:sz w:val="24"/>
          <w:szCs w:val="24"/>
        </w:rPr>
        <w:t xml:space="preserve">.                                                                                                                </w:t>
      </w:r>
    </w:p>
  </w:footnote>
  <w:footnote w:id="9">
    <w:p w:rsidR="001174E7" w:rsidRDefault="001174E7" w:rsidP="001174E7">
      <w:pPr>
        <w:pStyle w:val="Notedebasdepage"/>
        <w:spacing w:before="120"/>
        <w:rPr>
          <w:sz w:val="24"/>
          <w:szCs w:val="24"/>
        </w:rPr>
      </w:pPr>
      <w:r>
        <w:rPr>
          <w:rStyle w:val="Appelnotedebasdep"/>
        </w:rPr>
        <w:t>( 104 )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>IBID ; p 38</w:t>
      </w:r>
      <w:r>
        <w:rPr>
          <w:sz w:val="24"/>
          <w:szCs w:val="24"/>
        </w:rPr>
        <w:t xml:space="preserve"> .                                       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234" w:rsidRDefault="001174E7">
    <w:pPr>
      <w:pStyle w:val="En-tte"/>
      <w:framePr w:wrap="around" w:vAnchor="text" w:hAnchor="margin" w:xAlign="center" w:y="1"/>
      <w:rPr>
        <w:rStyle w:val="Numrodepage"/>
        <w:rtl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587234" w:rsidRDefault="00000000">
    <w:pPr>
      <w:pStyle w:val="En-tte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234" w:rsidRDefault="001174E7">
    <w:pPr>
      <w:pStyle w:val="En-tte"/>
      <w:framePr w:wrap="around" w:vAnchor="text" w:hAnchor="margin" w:xAlign="center" w:y="1"/>
      <w:rPr>
        <w:rStyle w:val="Numrodepage"/>
        <w:rtl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7722F8">
      <w:rPr>
        <w:rStyle w:val="Numrodepage"/>
        <w:noProof/>
        <w:rtl/>
      </w:rPr>
      <w:t>11</w:t>
    </w:r>
    <w:r>
      <w:rPr>
        <w:rStyle w:val="Numrodepage"/>
        <w:rtl/>
      </w:rPr>
      <w:fldChar w:fldCharType="end"/>
    </w:r>
  </w:p>
  <w:p w:rsidR="00587234" w:rsidRDefault="001174E7">
    <w:pPr>
      <w:pStyle w:val="En-tte"/>
      <w:rPr>
        <w:rtl/>
      </w:rPr>
    </w:pPr>
    <w:r>
      <w:rPr>
        <w:rFonts w:hint="cs"/>
        <w:rtl/>
      </w:rPr>
      <w:t xml:space="preserve">مدخـل                                                                                                  أفق التوقّع : المرجعية و المفهوم </w:t>
    </w:r>
  </w:p>
  <w:p w:rsidR="00587234" w:rsidRDefault="00000000">
    <w:pPr>
      <w:pStyle w:val="En-tte"/>
      <w:pBdr>
        <w:top w:val="single" w:sz="12" w:space="1" w:color="auto"/>
      </w:pBdr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234" w:rsidRDefault="00000000">
    <w:pPr>
      <w:pStyle w:val="En-tte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F9A"/>
    <w:rsid w:val="001174E7"/>
    <w:rsid w:val="0030355B"/>
    <w:rsid w:val="004E2F9A"/>
    <w:rsid w:val="00552414"/>
    <w:rsid w:val="00634F80"/>
    <w:rsid w:val="007722F8"/>
    <w:rsid w:val="00D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247E"/>
  <w15:docId w15:val="{04E89937-6051-46B4-80C8-D80DD819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174E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174E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rsid w:val="001174E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1174E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tedebasdepage">
    <w:name w:val="footnote text"/>
    <w:basedOn w:val="Normal"/>
    <w:link w:val="NotedebasdepageCar"/>
    <w:semiHidden/>
    <w:rsid w:val="001174E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1174E7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ppelnotedebasdep">
    <w:name w:val="footnote reference"/>
    <w:basedOn w:val="Policepardfaut"/>
    <w:semiHidden/>
    <w:rsid w:val="001174E7"/>
    <w:rPr>
      <w:vertAlign w:val="superscript"/>
    </w:rPr>
  </w:style>
  <w:style w:type="character" w:styleId="Numrodepage">
    <w:name w:val="page number"/>
    <w:basedOn w:val="Policepardfaut"/>
    <w:rsid w:val="0011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kheiro daiche</dc:creator>
  <cp:keywords/>
  <dc:description/>
  <cp:lastModifiedBy>kheiro daiche</cp:lastModifiedBy>
  <cp:revision>5</cp:revision>
  <dcterms:created xsi:type="dcterms:W3CDTF">2021-01-04T21:51:00Z</dcterms:created>
  <dcterms:modified xsi:type="dcterms:W3CDTF">2023-01-09T14:31:00Z</dcterms:modified>
</cp:coreProperties>
</file>