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ED" w:rsidRPr="00ED2FF4" w:rsidRDefault="003024ED" w:rsidP="003024ED">
      <w:pPr>
        <w:pBdr>
          <w:bottom w:val="single" w:sz="6" w:space="0" w:color="F1F1F1"/>
        </w:pBdr>
        <w:spacing w:before="450" w:after="150" w:line="360" w:lineRule="auto"/>
        <w:jc w:val="both"/>
        <w:textAlignment w:val="baseline"/>
        <w:outlineLvl w:val="2"/>
        <w:rPr>
          <w:rFonts w:ascii="Times New Roman" w:eastAsia="Times New Roman" w:hAnsi="Times New Roman" w:cs="Times New Roman"/>
          <w:b/>
          <w:bCs/>
          <w:sz w:val="28"/>
          <w:szCs w:val="28"/>
        </w:rPr>
      </w:pPr>
      <w:r w:rsidRPr="00ED2FF4">
        <w:rPr>
          <w:rFonts w:ascii="Times New Roman" w:eastAsia="Times New Roman" w:hAnsi="Times New Roman" w:cs="Times New Roman"/>
          <w:b/>
          <w:bCs/>
          <w:sz w:val="28"/>
          <w:szCs w:val="28"/>
        </w:rPr>
        <w:t>2.2.5 La rédaction des consignes</w:t>
      </w:r>
    </w:p>
    <w:p w:rsidR="003024ED" w:rsidRPr="009B2DE5" w:rsidRDefault="003024ED" w:rsidP="003024ED">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rédaction des consignes doit se faire avec toute la précision voulue car l’apprenant doit comprendre immédiatement ce qu’il est invité à faire. La consigne doit requérir la réception/production d’éléments linguistiques au sein d’un contexte communicatif, tout en conservant le caractère social et la fonction communicative du texte. En outre, nous soulignons que les situations inventées pour les activités et l’entraînement de l’apprenant doivent non seulement être proches de sa réalité, mais aussi prendre sérieusement en compte le rapport de celui-ci avec le référent, qui doit absolument le concerner (</w:t>
      </w:r>
      <w:proofErr w:type="spellStart"/>
      <w:r w:rsidRPr="009B2DE5">
        <w:rPr>
          <w:rFonts w:ascii="Times New Roman" w:eastAsia="Times New Roman" w:hAnsi="Times New Roman" w:cs="Times New Roman"/>
          <w:sz w:val="24"/>
          <w:szCs w:val="24"/>
        </w:rPr>
        <w:t>Tokatlidou</w:t>
      </w:r>
      <w:proofErr w:type="spellEnd"/>
      <w:r w:rsidRPr="009B2DE5">
        <w:rPr>
          <w:rFonts w:ascii="Times New Roman" w:eastAsia="Times New Roman" w:hAnsi="Times New Roman" w:cs="Times New Roman"/>
          <w:sz w:val="24"/>
          <w:szCs w:val="24"/>
        </w:rPr>
        <w:t>, 2003)</w:t>
      </w:r>
    </w:p>
    <w:p w:rsidR="003024ED" w:rsidRPr="009B2DE5" w:rsidRDefault="003024ED" w:rsidP="003024ED">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Selon </w:t>
      </w:r>
      <w:proofErr w:type="spellStart"/>
      <w:r w:rsidRPr="009B2DE5">
        <w:rPr>
          <w:rFonts w:ascii="Times New Roman" w:eastAsia="Times New Roman" w:hAnsi="Times New Roman" w:cs="Times New Roman"/>
          <w:sz w:val="24"/>
          <w:szCs w:val="24"/>
        </w:rPr>
        <w:t>Djoudi</w:t>
      </w:r>
      <w:proofErr w:type="spellEnd"/>
      <w:r w:rsidRPr="009B2DE5">
        <w:rPr>
          <w:rFonts w:ascii="Times New Roman" w:eastAsia="Times New Roman" w:hAnsi="Times New Roman" w:cs="Times New Roman"/>
          <w:sz w:val="24"/>
          <w:szCs w:val="24"/>
        </w:rPr>
        <w:t xml:space="preserve"> , les indicateurs qui peuvent nous aider à l’élaboration d’une consigne avec plus de précision, sont les suivants : Pourquoi ce travail ? (quel intérêt pour l’élève ?), Que faire ? (Qu’est-ce que l’élève doit être capable de réaliser ?), Comment le faire et avec quoi ? (Quelles sont les conditions matérielles, les modalités de travail, la durée, etc.), Jusqu’à quel degré d’achèvement ou de réussite ? (Quelle est la barre de difficulté ?)</w:t>
      </w:r>
    </w:p>
    <w:p w:rsidR="003024ED" w:rsidRPr="009B2DE5" w:rsidRDefault="003024ED" w:rsidP="003024ED">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Exemple : Votre ami Pierre souhaite venir chez vous pour la première fois. Afin de l’aider à trouver votre maison, vous lui proposez un plan de votre quartier. Supposez que le quartier de la vidéo est le vôtre et notez dans la bonne case sur le plan qui vous a été distribué tous les magasins présentés dans la vidéo (par ex. restaurant, etc.), pour aider Paul à s’orienter. </w:t>
      </w:r>
    </w:p>
    <w:p w:rsidR="003024ED" w:rsidRPr="00ED2FF4" w:rsidRDefault="003024ED" w:rsidP="003024ED">
      <w:pPr>
        <w:pBdr>
          <w:bottom w:val="single" w:sz="6" w:space="0" w:color="F1F1F1"/>
        </w:pBdr>
        <w:spacing w:before="450" w:after="150" w:line="360" w:lineRule="auto"/>
        <w:jc w:val="both"/>
        <w:textAlignment w:val="baseline"/>
        <w:outlineLvl w:val="2"/>
        <w:rPr>
          <w:rFonts w:ascii="Times New Roman" w:eastAsia="Times New Roman" w:hAnsi="Times New Roman" w:cs="Times New Roman"/>
          <w:b/>
          <w:bCs/>
          <w:sz w:val="28"/>
          <w:szCs w:val="28"/>
        </w:rPr>
      </w:pPr>
      <w:r w:rsidRPr="00ED2FF4">
        <w:rPr>
          <w:rFonts w:ascii="Times New Roman" w:eastAsia="Times New Roman" w:hAnsi="Times New Roman" w:cs="Times New Roman"/>
          <w:b/>
          <w:bCs/>
          <w:sz w:val="28"/>
          <w:szCs w:val="28"/>
        </w:rPr>
        <w:t>2.2.6 La présentation et la forme finale du matériel</w:t>
      </w:r>
    </w:p>
    <w:p w:rsidR="003024ED" w:rsidRPr="009B2DE5" w:rsidRDefault="003024ED" w:rsidP="003024ED">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présentation performante de documents didactiques relève entre autres :</w:t>
      </w:r>
    </w:p>
    <w:p w:rsidR="003024ED" w:rsidRPr="009B2DE5" w:rsidRDefault="003024ED" w:rsidP="003024ED">
      <w:pPr>
        <w:pStyle w:val="Paragraphedeliste"/>
        <w:numPr>
          <w:ilvl w:val="0"/>
          <w:numId w:val="1"/>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De la correction orthographique du texte,</w:t>
      </w:r>
    </w:p>
    <w:p w:rsidR="003024ED" w:rsidRPr="009B2DE5" w:rsidRDefault="003024ED" w:rsidP="003024ED">
      <w:pPr>
        <w:pStyle w:val="Paragraphedeliste"/>
        <w:numPr>
          <w:ilvl w:val="0"/>
          <w:numId w:val="1"/>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de la modification du texte, si nécessaire, en le simplifiant ou en l’enrichissant par des éléments iconiques ou d’autres textes explicatifs,</w:t>
      </w:r>
    </w:p>
    <w:p w:rsidR="003024ED" w:rsidRPr="009B2DE5" w:rsidRDefault="003024ED" w:rsidP="003024ED">
      <w:pPr>
        <w:pStyle w:val="Paragraphedeliste"/>
        <w:numPr>
          <w:ilvl w:val="0"/>
          <w:numId w:val="1"/>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de la présentation de consignes claires et soignées,</w:t>
      </w:r>
    </w:p>
    <w:p w:rsidR="003024ED" w:rsidRPr="009B2DE5" w:rsidRDefault="003024ED" w:rsidP="003024ED">
      <w:pPr>
        <w:pStyle w:val="Paragraphedeliste"/>
        <w:numPr>
          <w:ilvl w:val="0"/>
          <w:numId w:val="1"/>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de l’indication de l’origine du document et, finalement,</w:t>
      </w:r>
    </w:p>
    <w:p w:rsidR="003024ED" w:rsidRPr="009B2DE5" w:rsidRDefault="003024ED" w:rsidP="003024ED">
      <w:pPr>
        <w:pStyle w:val="Paragraphedeliste"/>
        <w:numPr>
          <w:ilvl w:val="0"/>
          <w:numId w:val="1"/>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du souci d’éviter les documents mal présentés ou mal photocopiés.</w:t>
      </w:r>
    </w:p>
    <w:p w:rsidR="003024ED" w:rsidRPr="009B2DE5" w:rsidRDefault="003024ED" w:rsidP="003024ED">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lastRenderedPageBreak/>
        <w:t>Certes, une fois la présentation des activités effectuée, nous devrons décider de la forme que l’ensemble de notre matériel aura : s’agira-t-il d’une simple photocopie, d’une fiche de travail, ou bien de la mise sur pied d’un projet pédagogique tout entier ?</w:t>
      </w:r>
    </w:p>
    <w:p w:rsidR="003024ED" w:rsidRPr="009B2DE5" w:rsidRDefault="003024ED" w:rsidP="003024ED">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Exemple : élaborer le matériel à distribuer aux apprenants, découper les premiers secondes inutiles du document audiovisuel exploité, proposer des images en couleur. </w:t>
      </w:r>
    </w:p>
    <w:p w:rsidR="003024ED" w:rsidRPr="009B2DE5" w:rsidRDefault="003024ED" w:rsidP="003024ED">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préparation du matériel didactique en six pas :</w:t>
      </w:r>
    </w:p>
    <w:p w:rsidR="003024ED" w:rsidRPr="009B2DE5" w:rsidRDefault="003024ED" w:rsidP="003024ED">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Considérer son contexte institutionnel (public, heures par semaine, équipement technique),</w:t>
      </w:r>
    </w:p>
    <w:p w:rsidR="003024ED" w:rsidRPr="009B2DE5" w:rsidRDefault="003024ED" w:rsidP="003024ED">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choisir une thématique adaptée,</w:t>
      </w:r>
    </w:p>
    <w:p w:rsidR="003024ED" w:rsidRPr="009B2DE5" w:rsidRDefault="003024ED" w:rsidP="003024ED">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définir les objectifs (communicatifs, fonctionnels, etc.)</w:t>
      </w:r>
    </w:p>
    <w:p w:rsidR="003024ED" w:rsidRPr="009B2DE5" w:rsidRDefault="003024ED" w:rsidP="003024ED">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trouver le(s) support(s), soit dans un corpus de documents personnel, soit en saisissant des mots- clés dans un moteur de recherche,</w:t>
      </w:r>
    </w:p>
    <w:p w:rsidR="003024ED" w:rsidRPr="009B2DE5" w:rsidRDefault="003024ED" w:rsidP="003024ED">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préparer des activités amenant à la réussite des objectifs visés,</w:t>
      </w:r>
    </w:p>
    <w:p w:rsidR="003024ED" w:rsidRPr="009B2DE5" w:rsidRDefault="003024ED" w:rsidP="003024ED">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soigner la forme finale du matériel remis aux apprenants.</w:t>
      </w:r>
    </w:p>
    <w:p w:rsidR="003024ED" w:rsidRPr="009B2DE5" w:rsidRDefault="003024ED" w:rsidP="003024ED">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En général, tout ce que l’enseignant propose en classe comme matériel didactique personnel dépend de sa formation, du public-cible, de sa créativité, de son inspiration, de son goût, des sources qu’il a à sa disposition, ainsi que de sa capacité à mettre tout cela ensemble afin de les utiliser d’une façon appropriée.</w:t>
      </w:r>
    </w:p>
    <w:p w:rsidR="003024ED" w:rsidRPr="009B2DE5" w:rsidRDefault="003024ED" w:rsidP="003024ED">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Certes, comme nous avons pu le constater au fil de la description des étapes de l’élaboration du matériel didactique, il s’agit d’une tâche exigeante et, souvent, pénible. </w:t>
      </w:r>
    </w:p>
    <w:p w:rsidR="003024ED" w:rsidRPr="009B2DE5" w:rsidRDefault="003024ED" w:rsidP="003024ED">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Bérard prévoit également la possibilité pour l’enseignant d’une LE dans un avenir proche de « constituer son matériel didactique à partir de documents écrits, sonores, vidéo, informatiques, puisés dans un centre </w:t>
      </w:r>
      <w:r>
        <w:rPr>
          <w:rFonts w:ascii="Times New Roman" w:eastAsia="Times New Roman" w:hAnsi="Times New Roman" w:cs="Times New Roman"/>
          <w:sz w:val="24"/>
          <w:szCs w:val="24"/>
        </w:rPr>
        <w:t>de ressources », ce qui condu</w:t>
      </w:r>
      <w:r w:rsidRPr="009B2DE5">
        <w:rPr>
          <w:rFonts w:ascii="Times New Roman" w:eastAsia="Times New Roman" w:hAnsi="Times New Roman" w:cs="Times New Roman"/>
          <w:sz w:val="24"/>
          <w:szCs w:val="24"/>
        </w:rPr>
        <w:t>it au développement de compétences et à une formation de l’enseignant « tournées vers la gestion du support » (ibid.), ainsi qu’à l’évaluation et à l’utilisation de ressources diversifiées.</w:t>
      </w:r>
    </w:p>
    <w:p w:rsidR="00CD497A" w:rsidRPr="003024ED" w:rsidRDefault="003024ED" w:rsidP="003024ED">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Toutes ces considérations contradictoires nous donnent matière à réfléchir à propos des entraves possibles – repérées peut-être sous la forme de stéréotypes ou même dues à un manque de formation adéquate –, ce qui pourrait fournir à l’enseignant de nouvelles bases pour une meilleure confiance en lui.</w:t>
      </w:r>
    </w:p>
    <w:sectPr w:rsidR="00CD497A" w:rsidRPr="003024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6.35pt;height:7.9pt;visibility:visible" o:bullet="t">
        <v:imagedata r:id="rId1" o:title="-"/>
      </v:shape>
    </w:pict>
  </w:numPicBullet>
  <w:abstractNum w:abstractNumId="0">
    <w:nsid w:val="29C35055"/>
    <w:multiLevelType w:val="hybridMultilevel"/>
    <w:tmpl w:val="102CC200"/>
    <w:lvl w:ilvl="0" w:tplc="FF9C93D0">
      <w:start w:val="1"/>
      <w:numFmt w:val="bullet"/>
      <w:lvlText w:val=""/>
      <w:lvlPicBulletId w:val="0"/>
      <w:lvlJc w:val="left"/>
      <w:pPr>
        <w:tabs>
          <w:tab w:val="num" w:pos="360"/>
        </w:tabs>
        <w:ind w:left="360" w:hanging="360"/>
      </w:pPr>
      <w:rPr>
        <w:rFonts w:ascii="Symbol" w:hAnsi="Symbol" w:hint="default"/>
      </w:rPr>
    </w:lvl>
    <w:lvl w:ilvl="1" w:tplc="3C5A9E9A" w:tentative="1">
      <w:start w:val="1"/>
      <w:numFmt w:val="bullet"/>
      <w:lvlText w:val=""/>
      <w:lvlJc w:val="left"/>
      <w:pPr>
        <w:tabs>
          <w:tab w:val="num" w:pos="1080"/>
        </w:tabs>
        <w:ind w:left="1080" w:hanging="360"/>
      </w:pPr>
      <w:rPr>
        <w:rFonts w:ascii="Symbol" w:hAnsi="Symbol" w:hint="default"/>
      </w:rPr>
    </w:lvl>
    <w:lvl w:ilvl="2" w:tplc="1848D456" w:tentative="1">
      <w:start w:val="1"/>
      <w:numFmt w:val="bullet"/>
      <w:lvlText w:val=""/>
      <w:lvlJc w:val="left"/>
      <w:pPr>
        <w:tabs>
          <w:tab w:val="num" w:pos="1800"/>
        </w:tabs>
        <w:ind w:left="1800" w:hanging="360"/>
      </w:pPr>
      <w:rPr>
        <w:rFonts w:ascii="Symbol" w:hAnsi="Symbol" w:hint="default"/>
      </w:rPr>
    </w:lvl>
    <w:lvl w:ilvl="3" w:tplc="908A8DEE" w:tentative="1">
      <w:start w:val="1"/>
      <w:numFmt w:val="bullet"/>
      <w:lvlText w:val=""/>
      <w:lvlJc w:val="left"/>
      <w:pPr>
        <w:tabs>
          <w:tab w:val="num" w:pos="2520"/>
        </w:tabs>
        <w:ind w:left="2520" w:hanging="360"/>
      </w:pPr>
      <w:rPr>
        <w:rFonts w:ascii="Symbol" w:hAnsi="Symbol" w:hint="default"/>
      </w:rPr>
    </w:lvl>
    <w:lvl w:ilvl="4" w:tplc="7CD6BB96" w:tentative="1">
      <w:start w:val="1"/>
      <w:numFmt w:val="bullet"/>
      <w:lvlText w:val=""/>
      <w:lvlJc w:val="left"/>
      <w:pPr>
        <w:tabs>
          <w:tab w:val="num" w:pos="3240"/>
        </w:tabs>
        <w:ind w:left="3240" w:hanging="360"/>
      </w:pPr>
      <w:rPr>
        <w:rFonts w:ascii="Symbol" w:hAnsi="Symbol" w:hint="default"/>
      </w:rPr>
    </w:lvl>
    <w:lvl w:ilvl="5" w:tplc="03D44AFA" w:tentative="1">
      <w:start w:val="1"/>
      <w:numFmt w:val="bullet"/>
      <w:lvlText w:val=""/>
      <w:lvlJc w:val="left"/>
      <w:pPr>
        <w:tabs>
          <w:tab w:val="num" w:pos="3960"/>
        </w:tabs>
        <w:ind w:left="3960" w:hanging="360"/>
      </w:pPr>
      <w:rPr>
        <w:rFonts w:ascii="Symbol" w:hAnsi="Symbol" w:hint="default"/>
      </w:rPr>
    </w:lvl>
    <w:lvl w:ilvl="6" w:tplc="CD5A7B8A" w:tentative="1">
      <w:start w:val="1"/>
      <w:numFmt w:val="bullet"/>
      <w:lvlText w:val=""/>
      <w:lvlJc w:val="left"/>
      <w:pPr>
        <w:tabs>
          <w:tab w:val="num" w:pos="4680"/>
        </w:tabs>
        <w:ind w:left="4680" w:hanging="360"/>
      </w:pPr>
      <w:rPr>
        <w:rFonts w:ascii="Symbol" w:hAnsi="Symbol" w:hint="default"/>
      </w:rPr>
    </w:lvl>
    <w:lvl w:ilvl="7" w:tplc="F19C8418" w:tentative="1">
      <w:start w:val="1"/>
      <w:numFmt w:val="bullet"/>
      <w:lvlText w:val=""/>
      <w:lvlJc w:val="left"/>
      <w:pPr>
        <w:tabs>
          <w:tab w:val="num" w:pos="5400"/>
        </w:tabs>
        <w:ind w:left="5400" w:hanging="360"/>
      </w:pPr>
      <w:rPr>
        <w:rFonts w:ascii="Symbol" w:hAnsi="Symbol" w:hint="default"/>
      </w:rPr>
    </w:lvl>
    <w:lvl w:ilvl="8" w:tplc="133088C2" w:tentative="1">
      <w:start w:val="1"/>
      <w:numFmt w:val="bullet"/>
      <w:lvlText w:val=""/>
      <w:lvlJc w:val="left"/>
      <w:pPr>
        <w:tabs>
          <w:tab w:val="num" w:pos="6120"/>
        </w:tabs>
        <w:ind w:left="6120" w:hanging="360"/>
      </w:pPr>
      <w:rPr>
        <w:rFonts w:ascii="Symbol" w:hAnsi="Symbol" w:hint="default"/>
      </w:rPr>
    </w:lvl>
  </w:abstractNum>
  <w:abstractNum w:abstractNumId="1">
    <w:nsid w:val="29F13A93"/>
    <w:multiLevelType w:val="hybridMultilevel"/>
    <w:tmpl w:val="CBA8A354"/>
    <w:lvl w:ilvl="0" w:tplc="3D368C66">
      <w:start w:val="1"/>
      <w:numFmt w:val="bullet"/>
      <w:lvlText w:val=""/>
      <w:lvlPicBulletId w:val="0"/>
      <w:lvlJc w:val="left"/>
      <w:pPr>
        <w:tabs>
          <w:tab w:val="num" w:pos="720"/>
        </w:tabs>
        <w:ind w:left="720" w:hanging="360"/>
      </w:pPr>
      <w:rPr>
        <w:rFonts w:ascii="Symbol" w:hAnsi="Symbol" w:hint="default"/>
      </w:rPr>
    </w:lvl>
    <w:lvl w:ilvl="1" w:tplc="CB5C078A" w:tentative="1">
      <w:start w:val="1"/>
      <w:numFmt w:val="bullet"/>
      <w:lvlText w:val=""/>
      <w:lvlJc w:val="left"/>
      <w:pPr>
        <w:tabs>
          <w:tab w:val="num" w:pos="1440"/>
        </w:tabs>
        <w:ind w:left="1440" w:hanging="360"/>
      </w:pPr>
      <w:rPr>
        <w:rFonts w:ascii="Symbol" w:hAnsi="Symbol" w:hint="default"/>
      </w:rPr>
    </w:lvl>
    <w:lvl w:ilvl="2" w:tplc="8A20788C" w:tentative="1">
      <w:start w:val="1"/>
      <w:numFmt w:val="bullet"/>
      <w:lvlText w:val=""/>
      <w:lvlJc w:val="left"/>
      <w:pPr>
        <w:tabs>
          <w:tab w:val="num" w:pos="2160"/>
        </w:tabs>
        <w:ind w:left="2160" w:hanging="360"/>
      </w:pPr>
      <w:rPr>
        <w:rFonts w:ascii="Symbol" w:hAnsi="Symbol" w:hint="default"/>
      </w:rPr>
    </w:lvl>
    <w:lvl w:ilvl="3" w:tplc="FEF46DF2" w:tentative="1">
      <w:start w:val="1"/>
      <w:numFmt w:val="bullet"/>
      <w:lvlText w:val=""/>
      <w:lvlJc w:val="left"/>
      <w:pPr>
        <w:tabs>
          <w:tab w:val="num" w:pos="2880"/>
        </w:tabs>
        <w:ind w:left="2880" w:hanging="360"/>
      </w:pPr>
      <w:rPr>
        <w:rFonts w:ascii="Symbol" w:hAnsi="Symbol" w:hint="default"/>
      </w:rPr>
    </w:lvl>
    <w:lvl w:ilvl="4" w:tplc="4888D87A" w:tentative="1">
      <w:start w:val="1"/>
      <w:numFmt w:val="bullet"/>
      <w:lvlText w:val=""/>
      <w:lvlJc w:val="left"/>
      <w:pPr>
        <w:tabs>
          <w:tab w:val="num" w:pos="3600"/>
        </w:tabs>
        <w:ind w:left="3600" w:hanging="360"/>
      </w:pPr>
      <w:rPr>
        <w:rFonts w:ascii="Symbol" w:hAnsi="Symbol" w:hint="default"/>
      </w:rPr>
    </w:lvl>
    <w:lvl w:ilvl="5" w:tplc="55065008" w:tentative="1">
      <w:start w:val="1"/>
      <w:numFmt w:val="bullet"/>
      <w:lvlText w:val=""/>
      <w:lvlJc w:val="left"/>
      <w:pPr>
        <w:tabs>
          <w:tab w:val="num" w:pos="4320"/>
        </w:tabs>
        <w:ind w:left="4320" w:hanging="360"/>
      </w:pPr>
      <w:rPr>
        <w:rFonts w:ascii="Symbol" w:hAnsi="Symbol" w:hint="default"/>
      </w:rPr>
    </w:lvl>
    <w:lvl w:ilvl="6" w:tplc="ACBC3AFA" w:tentative="1">
      <w:start w:val="1"/>
      <w:numFmt w:val="bullet"/>
      <w:lvlText w:val=""/>
      <w:lvlJc w:val="left"/>
      <w:pPr>
        <w:tabs>
          <w:tab w:val="num" w:pos="5040"/>
        </w:tabs>
        <w:ind w:left="5040" w:hanging="360"/>
      </w:pPr>
      <w:rPr>
        <w:rFonts w:ascii="Symbol" w:hAnsi="Symbol" w:hint="default"/>
      </w:rPr>
    </w:lvl>
    <w:lvl w:ilvl="7" w:tplc="FF60A4F4" w:tentative="1">
      <w:start w:val="1"/>
      <w:numFmt w:val="bullet"/>
      <w:lvlText w:val=""/>
      <w:lvlJc w:val="left"/>
      <w:pPr>
        <w:tabs>
          <w:tab w:val="num" w:pos="5760"/>
        </w:tabs>
        <w:ind w:left="5760" w:hanging="360"/>
      </w:pPr>
      <w:rPr>
        <w:rFonts w:ascii="Symbol" w:hAnsi="Symbol" w:hint="default"/>
      </w:rPr>
    </w:lvl>
    <w:lvl w:ilvl="8" w:tplc="8DC0960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3024ED"/>
    <w:rsid w:val="003024ED"/>
    <w:rsid w:val="00CD49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24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3487</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InfoVision</dc:creator>
  <cp:keywords/>
  <dc:description/>
  <cp:lastModifiedBy>InfoVision</cp:lastModifiedBy>
  <cp:revision>2</cp:revision>
  <dcterms:created xsi:type="dcterms:W3CDTF">2021-11-20T12:54:00Z</dcterms:created>
  <dcterms:modified xsi:type="dcterms:W3CDTF">2021-11-20T12:55:00Z</dcterms:modified>
</cp:coreProperties>
</file>