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3B" w:rsidRDefault="00C6403B" w:rsidP="00C6403B">
      <w:pPr>
        <w:jc w:val="both"/>
        <w:rPr>
          <w:b/>
          <w:sz w:val="22"/>
          <w:szCs w:val="22"/>
        </w:rPr>
      </w:pPr>
      <w:r>
        <w:rPr>
          <w:b/>
          <w:sz w:val="22"/>
          <w:szCs w:val="22"/>
        </w:rPr>
        <w:t>Eléments pour analyser un texte narratif</w:t>
      </w:r>
    </w:p>
    <w:p w:rsidR="00C6403B" w:rsidRPr="00D86BDB" w:rsidRDefault="00C6403B" w:rsidP="00C6403B">
      <w:pPr>
        <w:jc w:val="both"/>
        <w:rPr>
          <w:b/>
          <w:sz w:val="22"/>
          <w:szCs w:val="22"/>
        </w:rPr>
      </w:pPr>
      <w:r w:rsidRPr="00D86BDB">
        <w:rPr>
          <w:b/>
          <w:sz w:val="22"/>
          <w:szCs w:val="22"/>
        </w:rPr>
        <w:t xml:space="preserve">Présenter l’œuvre : contexte socioculturel de la production </w:t>
      </w:r>
    </w:p>
    <w:p w:rsidR="00C6403B" w:rsidRPr="00D86BDB" w:rsidRDefault="00C6403B" w:rsidP="00C6403B">
      <w:pPr>
        <w:jc w:val="both"/>
        <w:rPr>
          <w:b/>
          <w:sz w:val="22"/>
          <w:szCs w:val="22"/>
        </w:rPr>
      </w:pPr>
      <w:r w:rsidRPr="00D86BDB">
        <w:rPr>
          <w:b/>
          <w:sz w:val="22"/>
          <w:szCs w:val="22"/>
        </w:rPr>
        <w:t xml:space="preserve">L’auteur : vie et œuvre </w:t>
      </w:r>
    </w:p>
    <w:p w:rsidR="00C6403B" w:rsidRPr="00D86BDB" w:rsidRDefault="00C6403B" w:rsidP="00C6403B">
      <w:pPr>
        <w:jc w:val="both"/>
        <w:rPr>
          <w:sz w:val="22"/>
          <w:szCs w:val="22"/>
        </w:rPr>
      </w:pPr>
      <w:r w:rsidRPr="00D86BDB">
        <w:rPr>
          <w:sz w:val="22"/>
          <w:szCs w:val="22"/>
        </w:rPr>
        <w:t xml:space="preserve">En ce qui concerne la biographie, il ne faut retenir que les éléments importants. Une biographie doit être brève. </w:t>
      </w:r>
    </w:p>
    <w:p w:rsidR="00C6403B" w:rsidRPr="00D86BDB" w:rsidRDefault="00C6403B" w:rsidP="00C6403B">
      <w:pPr>
        <w:jc w:val="both"/>
        <w:rPr>
          <w:sz w:val="22"/>
          <w:szCs w:val="22"/>
        </w:rPr>
      </w:pPr>
      <w:r w:rsidRPr="00D86BDB">
        <w:rPr>
          <w:sz w:val="22"/>
          <w:szCs w:val="22"/>
        </w:rPr>
        <w:t>Ne pas oublier de parler des œuvres essentielles de l’auteur.</w:t>
      </w:r>
    </w:p>
    <w:p w:rsidR="00C6403B" w:rsidRPr="00D86BDB" w:rsidRDefault="00C6403B" w:rsidP="00C6403B">
      <w:pPr>
        <w:jc w:val="both"/>
        <w:rPr>
          <w:b/>
          <w:sz w:val="22"/>
          <w:szCs w:val="22"/>
        </w:rPr>
      </w:pPr>
      <w:r>
        <w:rPr>
          <w:b/>
          <w:sz w:val="22"/>
          <w:szCs w:val="22"/>
        </w:rPr>
        <w:t xml:space="preserve">Le courant littéraire </w:t>
      </w:r>
    </w:p>
    <w:p w:rsidR="00C6403B" w:rsidRPr="00D86BDB" w:rsidRDefault="00C6403B" w:rsidP="00C6403B">
      <w:pPr>
        <w:jc w:val="both"/>
        <w:rPr>
          <w:sz w:val="22"/>
          <w:szCs w:val="22"/>
        </w:rPr>
      </w:pPr>
      <w:r w:rsidRPr="00D86BDB">
        <w:rPr>
          <w:b/>
          <w:sz w:val="22"/>
          <w:szCs w:val="22"/>
        </w:rPr>
        <w:t xml:space="preserve">Le genre et le sous-genre de l’œuvre </w:t>
      </w:r>
    </w:p>
    <w:p w:rsidR="00C6403B" w:rsidRPr="00D86BDB" w:rsidRDefault="00C6403B" w:rsidP="00C6403B">
      <w:pPr>
        <w:jc w:val="both"/>
        <w:rPr>
          <w:sz w:val="22"/>
          <w:szCs w:val="22"/>
        </w:rPr>
      </w:pPr>
      <w:r w:rsidRPr="00D86BDB">
        <w:rPr>
          <w:b/>
          <w:sz w:val="22"/>
          <w:szCs w:val="22"/>
        </w:rPr>
        <w:t>Le paratexte</w:t>
      </w:r>
    </w:p>
    <w:p w:rsidR="00C6403B" w:rsidRPr="00D86BDB" w:rsidRDefault="00C6403B" w:rsidP="00C6403B">
      <w:pPr>
        <w:jc w:val="both"/>
        <w:rPr>
          <w:sz w:val="22"/>
          <w:szCs w:val="22"/>
        </w:rPr>
      </w:pPr>
      <w:r w:rsidRPr="00D86BDB">
        <w:rPr>
          <w:sz w:val="22"/>
          <w:szCs w:val="22"/>
        </w:rPr>
        <w:t xml:space="preserve">Le titre et la première de couverture appartiennent à ce que l’on appelle le paratexte (avec la préface et la quatrième de couverture). L’analyse de la première de couverture est importante elle aussi car elle permet de donner des indices sur le récit. Il est souvent intéressant, lorsqu’il existe plusieurs éditions d’un ouvrage, de comparer plusieurs couvertures de manière à voir ce que chacune d’elle met en avant. </w:t>
      </w:r>
    </w:p>
    <w:p w:rsidR="00C6403B" w:rsidRPr="00D86BDB" w:rsidRDefault="00C6403B" w:rsidP="00C6403B">
      <w:pPr>
        <w:jc w:val="both"/>
        <w:rPr>
          <w:b/>
          <w:sz w:val="22"/>
          <w:szCs w:val="22"/>
        </w:rPr>
      </w:pPr>
      <w:r w:rsidRPr="00D86BDB">
        <w:rPr>
          <w:b/>
          <w:sz w:val="22"/>
          <w:szCs w:val="22"/>
        </w:rPr>
        <w:t>La structure du récit</w:t>
      </w:r>
    </w:p>
    <w:p w:rsidR="00C6403B" w:rsidRPr="00D86BDB" w:rsidRDefault="00C6403B" w:rsidP="00C6403B">
      <w:pPr>
        <w:jc w:val="both"/>
        <w:rPr>
          <w:sz w:val="22"/>
          <w:szCs w:val="22"/>
          <w:u w:val="single"/>
        </w:rPr>
      </w:pPr>
      <w:r w:rsidRPr="00D86BDB">
        <w:rPr>
          <w:sz w:val="22"/>
          <w:szCs w:val="22"/>
          <w:u w:val="single"/>
        </w:rPr>
        <w:t>Le schéma fonctionnel (quinaire)</w:t>
      </w:r>
    </w:p>
    <w:p w:rsidR="00C6403B" w:rsidRPr="00D86BDB" w:rsidRDefault="00C6403B" w:rsidP="00C6403B">
      <w:pPr>
        <w:jc w:val="both"/>
        <w:rPr>
          <w:sz w:val="22"/>
          <w:szCs w:val="22"/>
        </w:rPr>
      </w:pPr>
      <w:r w:rsidRPr="00D86BDB">
        <w:rPr>
          <w:sz w:val="22"/>
          <w:szCs w:val="22"/>
        </w:rPr>
        <w:t xml:space="preserve">L’intrigue est la suite d’actions qui constituent la charpente de la fiction. Cette suite d’actions est structurée (elle a un début, un milieu et une fin) et logique (ce qui vient après est provoqué par ce qui se passe avant), selon un modèle invariant abstrait (le schéma « quinaire ») :  Ce modèle est celui du récit, défini comme la transformation d’un état (initial) en un autre état (final). </w:t>
      </w:r>
    </w:p>
    <w:p w:rsidR="00C6403B" w:rsidRPr="00D86BDB" w:rsidRDefault="00C6403B" w:rsidP="00C6403B">
      <w:pPr>
        <w:jc w:val="both"/>
        <w:rPr>
          <w:sz w:val="22"/>
          <w:szCs w:val="22"/>
        </w:rPr>
      </w:pPr>
      <w:r>
        <w:rPr>
          <w:b/>
          <w:noProof/>
          <w:sz w:val="22"/>
          <w:szCs w:val="22"/>
        </w:rPr>
        <w:drawing>
          <wp:anchor distT="0" distB="0" distL="114300" distR="114300" simplePos="0" relativeHeight="251659264" behindDoc="0" locked="0" layoutInCell="1" allowOverlap="1">
            <wp:simplePos x="0" y="0"/>
            <wp:positionH relativeFrom="column">
              <wp:posOffset>-148590</wp:posOffset>
            </wp:positionH>
            <wp:positionV relativeFrom="paragraph">
              <wp:posOffset>22860</wp:posOffset>
            </wp:positionV>
            <wp:extent cx="2101215" cy="3073400"/>
            <wp:effectExtent l="19050" t="0" r="0" b="0"/>
            <wp:wrapSquare wrapText="bothSides"/>
            <wp:docPr id="6" name="Picture 9" descr="narra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rratif.jpg"/>
                    <pic:cNvPicPr>
                      <a:picLocks noChangeAspect="1" noChangeArrowheads="1"/>
                    </pic:cNvPicPr>
                  </pic:nvPicPr>
                  <pic:blipFill>
                    <a:blip r:embed="rId7"/>
                    <a:srcRect/>
                    <a:stretch>
                      <a:fillRect/>
                    </a:stretch>
                  </pic:blipFill>
                  <pic:spPr bwMode="auto">
                    <a:xfrm>
                      <a:off x="0" y="0"/>
                      <a:ext cx="2101215" cy="3073400"/>
                    </a:xfrm>
                    <a:prstGeom prst="rect">
                      <a:avLst/>
                    </a:prstGeom>
                    <a:noFill/>
                  </pic:spPr>
                </pic:pic>
              </a:graphicData>
            </a:graphic>
          </wp:anchor>
        </w:drawing>
      </w:r>
    </w:p>
    <w:p w:rsidR="00C6403B" w:rsidRPr="00D86BDB" w:rsidRDefault="00C6403B" w:rsidP="00C6403B">
      <w:pPr>
        <w:numPr>
          <w:ilvl w:val="0"/>
          <w:numId w:val="1"/>
        </w:numPr>
        <w:jc w:val="both"/>
        <w:rPr>
          <w:sz w:val="22"/>
          <w:szCs w:val="22"/>
        </w:rPr>
      </w:pPr>
      <w:r w:rsidRPr="00D86BDB">
        <w:rPr>
          <w:sz w:val="22"/>
          <w:szCs w:val="22"/>
        </w:rPr>
        <w:t>L’état initial : la situation première, l’équilibre qui précède l’action.</w:t>
      </w:r>
    </w:p>
    <w:p w:rsidR="00C6403B" w:rsidRPr="00D86BDB" w:rsidRDefault="00C6403B" w:rsidP="00C6403B">
      <w:pPr>
        <w:numPr>
          <w:ilvl w:val="0"/>
          <w:numId w:val="1"/>
        </w:numPr>
        <w:jc w:val="both"/>
        <w:rPr>
          <w:sz w:val="22"/>
          <w:szCs w:val="22"/>
        </w:rPr>
      </w:pPr>
      <w:r w:rsidRPr="00D86BDB">
        <w:rPr>
          <w:sz w:val="22"/>
          <w:szCs w:val="22"/>
        </w:rPr>
        <w:t>La complication (force perturbatrice) : le méfait, le manque, l’évènement qui rompt l’équilibre et déclenche l’action.</w:t>
      </w:r>
    </w:p>
    <w:p w:rsidR="00C6403B" w:rsidRPr="00D86BDB" w:rsidRDefault="00C6403B" w:rsidP="00C6403B">
      <w:pPr>
        <w:numPr>
          <w:ilvl w:val="0"/>
          <w:numId w:val="1"/>
        </w:numPr>
        <w:jc w:val="both"/>
        <w:rPr>
          <w:sz w:val="22"/>
          <w:szCs w:val="22"/>
        </w:rPr>
      </w:pPr>
      <w:r w:rsidRPr="00D86BDB">
        <w:rPr>
          <w:sz w:val="22"/>
          <w:szCs w:val="22"/>
        </w:rPr>
        <w:t>La dynamique : l’épreuve, le conflit, les péripéties éventuelles. C’est l’enchainement des actions.</w:t>
      </w:r>
    </w:p>
    <w:p w:rsidR="00C6403B" w:rsidRPr="00D86BDB" w:rsidRDefault="00C6403B" w:rsidP="00C6403B">
      <w:pPr>
        <w:numPr>
          <w:ilvl w:val="0"/>
          <w:numId w:val="1"/>
        </w:numPr>
        <w:jc w:val="both"/>
        <w:rPr>
          <w:sz w:val="22"/>
          <w:szCs w:val="22"/>
        </w:rPr>
      </w:pPr>
      <w:r w:rsidRPr="00D86BDB">
        <w:rPr>
          <w:sz w:val="22"/>
          <w:szCs w:val="22"/>
        </w:rPr>
        <w:t>La résolution (force équilibrante) met un terme à l’épreuve.</w:t>
      </w:r>
    </w:p>
    <w:p w:rsidR="00C6403B" w:rsidRPr="00D86BDB" w:rsidRDefault="00C6403B" w:rsidP="00C6403B">
      <w:pPr>
        <w:numPr>
          <w:ilvl w:val="0"/>
          <w:numId w:val="1"/>
        </w:numPr>
        <w:jc w:val="both"/>
        <w:rPr>
          <w:sz w:val="22"/>
          <w:szCs w:val="22"/>
        </w:rPr>
      </w:pPr>
      <w:r w:rsidRPr="00D86BDB">
        <w:rPr>
          <w:sz w:val="22"/>
          <w:szCs w:val="22"/>
        </w:rPr>
        <w:t xml:space="preserve">L’état final : un nouvel équilibre, qui peut à son tour être le point de départ (l’état initial) d’un nouvel épisode. </w:t>
      </w:r>
    </w:p>
    <w:p w:rsidR="00C6403B" w:rsidRPr="00D86BDB" w:rsidRDefault="00C6403B" w:rsidP="00C6403B">
      <w:pPr>
        <w:ind w:left="360"/>
        <w:jc w:val="both"/>
        <w:rPr>
          <w:sz w:val="22"/>
          <w:szCs w:val="22"/>
        </w:rPr>
      </w:pPr>
    </w:p>
    <w:p w:rsidR="00C6403B" w:rsidRPr="00D86BDB" w:rsidRDefault="00C6403B" w:rsidP="00C6403B">
      <w:pPr>
        <w:jc w:val="both"/>
        <w:rPr>
          <w:sz w:val="22"/>
          <w:szCs w:val="22"/>
        </w:rPr>
      </w:pPr>
      <w:r w:rsidRPr="00D86BDB">
        <w:rPr>
          <w:sz w:val="22"/>
          <w:szCs w:val="22"/>
        </w:rPr>
        <w:t xml:space="preserve"> </w:t>
      </w:r>
      <w:r w:rsidRPr="00D86BDB">
        <w:rPr>
          <w:b/>
          <w:sz w:val="22"/>
          <w:szCs w:val="22"/>
        </w:rPr>
        <w:t>L’analyse de l’action</w:t>
      </w:r>
    </w:p>
    <w:p w:rsidR="00C6403B" w:rsidRPr="00D86BDB" w:rsidRDefault="00C6403B" w:rsidP="00C6403B">
      <w:pPr>
        <w:jc w:val="both"/>
        <w:rPr>
          <w:b/>
          <w:sz w:val="22"/>
          <w:szCs w:val="22"/>
        </w:rPr>
      </w:pPr>
      <w:r w:rsidRPr="00D86BDB">
        <w:rPr>
          <w:b/>
          <w:sz w:val="22"/>
          <w:szCs w:val="22"/>
        </w:rPr>
        <w:t>Le schéma actantiel et fonctionnel de Greimas</w:t>
      </w:r>
      <w:r w:rsidRPr="00D86BDB">
        <w:rPr>
          <w:rStyle w:val="Appelnotedebasdep"/>
          <w:b/>
          <w:sz w:val="22"/>
          <w:szCs w:val="22"/>
        </w:rPr>
        <w:footnoteReference w:id="2"/>
      </w:r>
    </w:p>
    <w:p w:rsidR="00C6403B" w:rsidRPr="00D86BDB" w:rsidRDefault="00C6403B" w:rsidP="00C6403B">
      <w:pPr>
        <w:jc w:val="both"/>
        <w:rPr>
          <w:sz w:val="22"/>
          <w:szCs w:val="22"/>
        </w:rPr>
      </w:pPr>
      <w:r w:rsidRPr="00D86BDB">
        <w:rPr>
          <w:sz w:val="22"/>
          <w:szCs w:val="22"/>
          <w:u w:val="single"/>
        </w:rPr>
        <w:t>Le schéma actantiel</w:t>
      </w:r>
      <w:r w:rsidRPr="00D86BDB">
        <w:rPr>
          <w:sz w:val="22"/>
          <w:szCs w:val="22"/>
        </w:rPr>
        <w:t xml:space="preserve"> Si l’on s’attache plus particulièrement aux actions des personnages, on verra que, sous la diversité des rôles, toutes les histoires proposent des participants à l’intrigue (des « actants ») en nombre limité : un </w:t>
      </w:r>
      <w:r w:rsidRPr="00D86BDB">
        <w:rPr>
          <w:i/>
          <w:sz w:val="22"/>
          <w:szCs w:val="22"/>
        </w:rPr>
        <w:t>sujet</w:t>
      </w:r>
      <w:r w:rsidRPr="00D86BDB">
        <w:rPr>
          <w:sz w:val="22"/>
          <w:szCs w:val="22"/>
        </w:rPr>
        <w:t xml:space="preserve"> veut s’emparer d’un </w:t>
      </w:r>
      <w:r w:rsidRPr="00D86BDB">
        <w:rPr>
          <w:i/>
          <w:sz w:val="22"/>
          <w:szCs w:val="22"/>
        </w:rPr>
        <w:t>objet</w:t>
      </w:r>
      <w:r w:rsidRPr="00D86BDB">
        <w:rPr>
          <w:sz w:val="22"/>
          <w:szCs w:val="22"/>
        </w:rPr>
        <w:t xml:space="preserve">, sous l’impulsion d’un </w:t>
      </w:r>
      <w:r w:rsidRPr="00D86BDB">
        <w:rPr>
          <w:i/>
          <w:sz w:val="22"/>
          <w:szCs w:val="22"/>
        </w:rPr>
        <w:t>destinateur</w:t>
      </w:r>
      <w:r w:rsidRPr="00D86BDB">
        <w:rPr>
          <w:sz w:val="22"/>
          <w:szCs w:val="22"/>
        </w:rPr>
        <w:t xml:space="preserve"> pour le remettre à un </w:t>
      </w:r>
      <w:r w:rsidRPr="00D86BDB">
        <w:rPr>
          <w:i/>
          <w:sz w:val="22"/>
          <w:szCs w:val="22"/>
        </w:rPr>
        <w:t>destinataire</w:t>
      </w:r>
      <w:r w:rsidRPr="00D86BDB">
        <w:rPr>
          <w:sz w:val="22"/>
          <w:szCs w:val="22"/>
        </w:rPr>
        <w:t xml:space="preserve"> (bénéficiaire) avec l’aide d’un ou plusieurs </w:t>
      </w:r>
      <w:r w:rsidRPr="00D86BDB">
        <w:rPr>
          <w:i/>
          <w:sz w:val="22"/>
          <w:szCs w:val="22"/>
        </w:rPr>
        <w:t>adjuvants</w:t>
      </w:r>
      <w:r w:rsidRPr="00D86BDB">
        <w:rPr>
          <w:sz w:val="22"/>
          <w:szCs w:val="22"/>
        </w:rPr>
        <w:t xml:space="preserve"> et en se heurtant à un ou plusieurs </w:t>
      </w:r>
      <w:r w:rsidRPr="00D86BDB">
        <w:rPr>
          <w:i/>
          <w:sz w:val="22"/>
          <w:szCs w:val="22"/>
        </w:rPr>
        <w:t>opposants</w:t>
      </w:r>
      <w:r w:rsidRPr="00D86BDB">
        <w:rPr>
          <w:sz w:val="22"/>
          <w:szCs w:val="22"/>
        </w:rPr>
        <w:t xml:space="preserve">.  </w:t>
      </w:r>
    </w:p>
    <w:p w:rsidR="00C6403B" w:rsidRPr="00D86BDB" w:rsidRDefault="00C6403B" w:rsidP="00C6403B">
      <w:pPr>
        <w:jc w:val="both"/>
        <w:rPr>
          <w:sz w:val="22"/>
          <w:szCs w:val="22"/>
        </w:rPr>
      </w:pPr>
      <w:r>
        <w:rPr>
          <w:noProof/>
          <w:sz w:val="22"/>
          <w:szCs w:val="22"/>
        </w:rPr>
        <w:drawing>
          <wp:anchor distT="0" distB="0" distL="114300" distR="114300" simplePos="0" relativeHeight="251660288" behindDoc="1" locked="0" layoutInCell="1" allowOverlap="1">
            <wp:simplePos x="0" y="0"/>
            <wp:positionH relativeFrom="column">
              <wp:posOffset>-4445</wp:posOffset>
            </wp:positionH>
            <wp:positionV relativeFrom="paragraph">
              <wp:posOffset>6350</wp:posOffset>
            </wp:positionV>
            <wp:extent cx="4464685" cy="1270000"/>
            <wp:effectExtent l="19050" t="0" r="0" b="0"/>
            <wp:wrapSquare wrapText="bothSides"/>
            <wp:docPr id="8" name="Picture 10" descr="actanti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tantiel2.jpg"/>
                    <pic:cNvPicPr>
                      <a:picLocks noChangeAspect="1" noChangeArrowheads="1"/>
                    </pic:cNvPicPr>
                  </pic:nvPicPr>
                  <pic:blipFill>
                    <a:blip r:embed="rId8"/>
                    <a:srcRect/>
                    <a:stretch>
                      <a:fillRect/>
                    </a:stretch>
                  </pic:blipFill>
                  <pic:spPr bwMode="auto">
                    <a:xfrm>
                      <a:off x="0" y="0"/>
                      <a:ext cx="4464685" cy="1270000"/>
                    </a:xfrm>
                    <a:prstGeom prst="rect">
                      <a:avLst/>
                    </a:prstGeom>
                    <a:noFill/>
                  </pic:spPr>
                </pic:pic>
              </a:graphicData>
            </a:graphic>
          </wp:anchor>
        </w:drawing>
      </w:r>
    </w:p>
    <w:p w:rsidR="00C6403B" w:rsidRPr="00D86BDB" w:rsidRDefault="00C6403B" w:rsidP="00C6403B">
      <w:pPr>
        <w:jc w:val="both"/>
        <w:rPr>
          <w:sz w:val="22"/>
          <w:szCs w:val="22"/>
        </w:rPr>
      </w:pPr>
      <w:r w:rsidRPr="00D86BDB">
        <w:rPr>
          <w:sz w:val="22"/>
          <w:szCs w:val="22"/>
        </w:rPr>
        <w:t>Ce modèle s’assortit de deux règles :</w:t>
      </w:r>
    </w:p>
    <w:p w:rsidR="00C6403B" w:rsidRPr="00D86BDB" w:rsidRDefault="00C6403B" w:rsidP="00C6403B">
      <w:pPr>
        <w:numPr>
          <w:ilvl w:val="0"/>
          <w:numId w:val="1"/>
        </w:numPr>
        <w:jc w:val="both"/>
        <w:rPr>
          <w:sz w:val="22"/>
          <w:szCs w:val="22"/>
        </w:rPr>
      </w:pPr>
      <w:r w:rsidRPr="00D86BDB">
        <w:rPr>
          <w:sz w:val="22"/>
          <w:szCs w:val="22"/>
        </w:rPr>
        <w:t xml:space="preserve">un même rôle actantiel </w:t>
      </w:r>
      <w:r w:rsidRPr="00D86BDB">
        <w:rPr>
          <w:sz w:val="22"/>
          <w:szCs w:val="22"/>
        </w:rPr>
        <w:lastRenderedPageBreak/>
        <w:t>peut être rempli par plusieurs acteurs.</w:t>
      </w:r>
    </w:p>
    <w:p w:rsidR="00C6403B" w:rsidRPr="00D86BDB" w:rsidRDefault="00C6403B" w:rsidP="00C6403B">
      <w:pPr>
        <w:numPr>
          <w:ilvl w:val="0"/>
          <w:numId w:val="1"/>
        </w:numPr>
        <w:jc w:val="both"/>
        <w:rPr>
          <w:sz w:val="22"/>
          <w:szCs w:val="22"/>
        </w:rPr>
      </w:pPr>
      <w:r w:rsidRPr="00D86BDB">
        <w:rPr>
          <w:sz w:val="22"/>
          <w:szCs w:val="22"/>
        </w:rPr>
        <w:t xml:space="preserve">un même acteur peut cumuler plusieurs rôles actantiels. </w:t>
      </w:r>
    </w:p>
    <w:p w:rsidR="00C6403B" w:rsidRPr="00D86BDB" w:rsidRDefault="00C6403B" w:rsidP="00C6403B">
      <w:pPr>
        <w:tabs>
          <w:tab w:val="left" w:pos="1065"/>
        </w:tabs>
        <w:jc w:val="both"/>
        <w:rPr>
          <w:sz w:val="22"/>
          <w:szCs w:val="22"/>
        </w:rPr>
      </w:pPr>
      <w:r w:rsidRPr="00D86BDB">
        <w:rPr>
          <w:sz w:val="22"/>
          <w:szCs w:val="22"/>
        </w:rPr>
        <w:t>Diverses remarques :</w:t>
      </w:r>
    </w:p>
    <w:p w:rsidR="00C6403B" w:rsidRPr="00D86BDB" w:rsidRDefault="00C6403B" w:rsidP="00C6403B">
      <w:pPr>
        <w:numPr>
          <w:ilvl w:val="0"/>
          <w:numId w:val="1"/>
        </w:numPr>
        <w:tabs>
          <w:tab w:val="left" w:pos="1065"/>
        </w:tabs>
        <w:jc w:val="both"/>
        <w:rPr>
          <w:sz w:val="22"/>
          <w:szCs w:val="22"/>
        </w:rPr>
      </w:pPr>
      <w:r w:rsidRPr="00D86BDB">
        <w:rPr>
          <w:sz w:val="22"/>
          <w:szCs w:val="22"/>
        </w:rPr>
        <w:t>le personnage est à considérer dans un sens très large. Ainsi, un rôle actantiel peut être assuré par un animal, un élément naturel, une force ou une valeur abstraite.</w:t>
      </w:r>
    </w:p>
    <w:p w:rsidR="00C6403B" w:rsidRPr="00D86BDB" w:rsidRDefault="00C6403B" w:rsidP="00C6403B">
      <w:pPr>
        <w:numPr>
          <w:ilvl w:val="0"/>
          <w:numId w:val="1"/>
        </w:numPr>
        <w:tabs>
          <w:tab w:val="left" w:pos="1065"/>
        </w:tabs>
        <w:jc w:val="both"/>
        <w:rPr>
          <w:sz w:val="22"/>
          <w:szCs w:val="22"/>
        </w:rPr>
      </w:pPr>
      <w:r w:rsidRPr="00D86BDB">
        <w:rPr>
          <w:sz w:val="22"/>
          <w:szCs w:val="22"/>
        </w:rPr>
        <w:t xml:space="preserve">Il peut arriver qu’au cours du récit, un personnage change de rôle actantiel ; dès lors, il faudra interpréter l’action à l’aide d’autant de modèles qu’il y a de changements notables.  </w:t>
      </w:r>
    </w:p>
    <w:p w:rsidR="00C6403B" w:rsidRPr="00D86BDB" w:rsidRDefault="00C6403B" w:rsidP="00C6403B">
      <w:pPr>
        <w:jc w:val="both"/>
        <w:rPr>
          <w:b/>
          <w:sz w:val="22"/>
          <w:szCs w:val="22"/>
        </w:rPr>
      </w:pPr>
    </w:p>
    <w:p w:rsidR="003F1872" w:rsidRDefault="003F1872">
      <w:pPr>
        <w:rPr>
          <w:b/>
          <w:bCs/>
        </w:rPr>
      </w:pPr>
      <w:r>
        <w:rPr>
          <w:b/>
          <w:bCs/>
        </w:rPr>
        <w:t>TD</w:t>
      </w:r>
    </w:p>
    <w:p w:rsidR="0090648B" w:rsidRPr="003F1872" w:rsidRDefault="003F1872">
      <w:pPr>
        <w:rPr>
          <w:b/>
          <w:bCs/>
        </w:rPr>
      </w:pPr>
      <w:r w:rsidRPr="003F1872">
        <w:rPr>
          <w:b/>
          <w:bCs/>
        </w:rPr>
        <w:t xml:space="preserve">Faites le schéma narratif et actantiel de la nouvelle </w:t>
      </w:r>
      <w:r w:rsidRPr="003F1872">
        <w:rPr>
          <w:b/>
          <w:bCs/>
          <w:i/>
          <w:iCs/>
        </w:rPr>
        <w:t>La parure</w:t>
      </w:r>
      <w:r w:rsidRPr="003F1872">
        <w:rPr>
          <w:b/>
          <w:bCs/>
        </w:rPr>
        <w:t xml:space="preserve"> de Maupassant </w:t>
      </w:r>
    </w:p>
    <w:sectPr w:rsidR="0090648B" w:rsidRPr="003F1872" w:rsidSect="0090648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1E0" w:rsidRDefault="001131E0" w:rsidP="00C6403B">
      <w:r>
        <w:separator/>
      </w:r>
    </w:p>
  </w:endnote>
  <w:endnote w:type="continuationSeparator" w:id="1">
    <w:p w:rsidR="001131E0" w:rsidRDefault="001131E0" w:rsidP="00C64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1E0" w:rsidRDefault="001131E0" w:rsidP="00C6403B">
      <w:r>
        <w:separator/>
      </w:r>
    </w:p>
  </w:footnote>
  <w:footnote w:type="continuationSeparator" w:id="1">
    <w:p w:rsidR="001131E0" w:rsidRDefault="001131E0" w:rsidP="00C6403B">
      <w:r>
        <w:continuationSeparator/>
      </w:r>
    </w:p>
  </w:footnote>
  <w:footnote w:id="2">
    <w:p w:rsidR="00C6403B" w:rsidRPr="00677FB1" w:rsidRDefault="00C6403B" w:rsidP="00C6403B">
      <w:pPr>
        <w:pStyle w:val="Notedebasdepage"/>
        <w:rPr>
          <w:lang w:val="fr-BE"/>
        </w:rPr>
      </w:pPr>
      <w:r>
        <w:rPr>
          <w:rStyle w:val="Appelnotedebasdep"/>
        </w:rPr>
        <w:footnoteRef/>
      </w:r>
      <w:r>
        <w:t xml:space="preserve"> </w:t>
      </w:r>
      <w:r w:rsidRPr="00677FB1">
        <w:rPr>
          <w:bCs/>
        </w:rPr>
        <w:t>ALGIRDAS JULIEN GREIMAS</w:t>
      </w:r>
      <w:r w:rsidRPr="00677FB1">
        <w:t xml:space="preserve"> (</w:t>
      </w:r>
      <w:hyperlink r:id="rId1" w:tooltip="1917" w:history="1">
        <w:r w:rsidRPr="00677FB1">
          <w:rPr>
            <w:rStyle w:val="Lienhypertexte"/>
          </w:rPr>
          <w:t>1917</w:t>
        </w:r>
      </w:hyperlink>
      <w:r w:rsidRPr="00677FB1">
        <w:t xml:space="preserve"> - </w:t>
      </w:r>
      <w:hyperlink r:id="rId2" w:tooltip="1992" w:history="1">
        <w:r w:rsidRPr="00677FB1">
          <w:rPr>
            <w:rStyle w:val="Lienhypertexte"/>
          </w:rPr>
          <w:t>1992</w:t>
        </w:r>
      </w:hyperlink>
      <w:r w:rsidRPr="00677FB1">
        <w:t xml:space="preserve">) est un </w:t>
      </w:r>
      <w:hyperlink r:id="rId3" w:tooltip="Linguistique" w:history="1">
        <w:r w:rsidRPr="00677FB1">
          <w:rPr>
            <w:rStyle w:val="Lienhypertexte"/>
          </w:rPr>
          <w:t>linguiste</w:t>
        </w:r>
      </w:hyperlink>
      <w:r w:rsidRPr="00677FB1">
        <w:t xml:space="preserve"> et </w:t>
      </w:r>
      <w:hyperlink r:id="rId4" w:tooltip="Sémiotique" w:history="1">
        <w:r w:rsidRPr="00677FB1">
          <w:rPr>
            <w:rStyle w:val="Lienhypertexte"/>
          </w:rPr>
          <w:t>sémioticien</w:t>
        </w:r>
      </w:hyperlink>
      <w:r w:rsidRPr="00677FB1">
        <w:t xml:space="preserve">, fondateur de la </w:t>
      </w:r>
      <w:hyperlink r:id="rId5" w:tooltip="Sémiotique structurale" w:history="1">
        <w:r w:rsidRPr="00677FB1">
          <w:rPr>
            <w:rStyle w:val="Lienhypertexte"/>
          </w:rPr>
          <w:t>sémiotique structurale</w:t>
        </w:r>
      </w:hyperlink>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36A93"/>
    <w:multiLevelType w:val="hybridMultilevel"/>
    <w:tmpl w:val="32DEE4B6"/>
    <w:lvl w:ilvl="0" w:tplc="292E1B20">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6403B"/>
    <w:rsid w:val="001131E0"/>
    <w:rsid w:val="003F1872"/>
    <w:rsid w:val="0090648B"/>
    <w:rsid w:val="00C640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03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C6403B"/>
    <w:rPr>
      <w:sz w:val="20"/>
      <w:szCs w:val="20"/>
    </w:rPr>
  </w:style>
  <w:style w:type="character" w:customStyle="1" w:styleId="NotedebasdepageCar">
    <w:name w:val="Note de bas de page Car"/>
    <w:basedOn w:val="Policepardfaut"/>
    <w:link w:val="Notedebasdepage"/>
    <w:semiHidden/>
    <w:rsid w:val="00C6403B"/>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C6403B"/>
    <w:rPr>
      <w:vertAlign w:val="superscript"/>
    </w:rPr>
  </w:style>
  <w:style w:type="character" w:styleId="Lienhypertexte">
    <w:name w:val="Hyperlink"/>
    <w:basedOn w:val="Policepardfaut"/>
    <w:rsid w:val="00C640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fr.wikipedia.org/wiki/Linguistique" TargetMode="External"/><Relationship Id="rId2" Type="http://schemas.openxmlformats.org/officeDocument/2006/relationships/hyperlink" Target="http://fr.wikipedia.org/wiki/1992" TargetMode="External"/><Relationship Id="rId1" Type="http://schemas.openxmlformats.org/officeDocument/2006/relationships/hyperlink" Target="http://fr.wikipedia.org/wiki/1917" TargetMode="External"/><Relationship Id="rId5" Type="http://schemas.openxmlformats.org/officeDocument/2006/relationships/hyperlink" Target="http://fr.wikipedia.org/w/index.php?title=S%C3%A9miotique_structurale&amp;action=edit" TargetMode="External"/><Relationship Id="rId4" Type="http://schemas.openxmlformats.org/officeDocument/2006/relationships/hyperlink" Target="http://fr.wikipedia.org/wiki/S%C3%A9miot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439</Words>
  <Characters>2415</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2022-12-03T03:52:00Z</dcterms:created>
  <dcterms:modified xsi:type="dcterms:W3CDTF">2022-12-03T04:05:00Z</dcterms:modified>
</cp:coreProperties>
</file>