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8C" w:rsidRPr="00FF4941" w:rsidRDefault="00247118" w:rsidP="003D148C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>سادسا</w:t>
      </w:r>
      <w:r w:rsidR="003D148C" w:rsidRPr="00FF4941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>. المدرسة التوزيعية السلوكية(</w:t>
      </w:r>
      <w:proofErr w:type="spellStart"/>
      <w:r w:rsidR="003D148C" w:rsidRPr="00FF4941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>بلومفيلد)</w:t>
      </w:r>
      <w:proofErr w:type="spellEnd"/>
    </w:p>
    <w:p w:rsidR="003D148C" w:rsidRPr="00FF4941" w:rsidRDefault="003D148C" w:rsidP="003D148C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تمهيد</w:t>
      </w:r>
      <w:proofErr w:type="gramEnd"/>
    </w:p>
    <w:p w:rsidR="003D148C" w:rsidRPr="00FF4941" w:rsidRDefault="003D148C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تأثر أتباع المدرسة الأمريكية بالمذهب السلوكي في علم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النفس،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وعدّوا اللغة مجموعة من العادات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السلوكية،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فقد اعتبر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اللغة سلوك لغوي يشبه باقي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السلوكات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الأخرى،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على خلاف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سابير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الذي نظر إليها من الناحية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الاجتماعية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"/>
        <w:t>1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. </w:t>
      </w:r>
      <w:proofErr w:type="gram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ويرى</w:t>
      </w:r>
      <w:proofErr w:type="gram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أتباع هذه المدرسة أن الطريقة التي يتحدث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بها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الناس هي مرجعهم الوحيد في الحكم على اللغة دون النظر إلى جانبها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النحوي،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فركزوا على تعلم لغة النطق أولا ثم لغة الكتابة بعدها. هذه المدرسة لم تدرس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المعنى،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لكنها لم تنكر أهميته في الدرس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اللغوي،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يقول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: «لا يمكن في اللغة فصل الأشكال عن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معانيها،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ومن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غيرالمُجدي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دراسة أصوات اللغة فقط دون إعطاء أي اعتبار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للمعنى،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ولكن يجب أن نبدأ من الأشكال لا المعنى»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2"/>
        <w:t>2</w:t>
      </w:r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. كان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صارما في دراسته للغة التي طُبِعت بطابع علمي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تجريبي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3"/>
        <w:t>3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3D148C" w:rsidRPr="00247118" w:rsidRDefault="00247118" w:rsidP="00247118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1. </w:t>
      </w:r>
      <w:r w:rsidR="003D148C" w:rsidRPr="0024711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نمط توزيع الوحدات اللغوية</w:t>
      </w:r>
    </w:p>
    <w:p w:rsidR="003D148C" w:rsidRPr="00FF4941" w:rsidRDefault="003D148C" w:rsidP="003D148C">
      <w:pPr>
        <w:pStyle w:val="Paragraphedeliste"/>
        <w:numPr>
          <w:ilvl w:val="1"/>
          <w:numId w:val="2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مفهوم</w:t>
      </w:r>
      <w:proofErr w:type="gramEnd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التوزيع</w:t>
      </w:r>
    </w:p>
    <w:p w:rsidR="00247118" w:rsidRPr="00FF4941" w:rsidRDefault="003D148C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إذا أردنا أن نقدم تعريفا لمفهوم التوزيع في الدراسة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اللسانية،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«فالتوجه التوزيعي في اللسانيات يُعدّ ردّ فعل على الدراسة اللسانية التقليدية التي ركزت في تحليلها ودراستها على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مبدإ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الخطإ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والصواب في التقعيد المعياري للغات وتوخّي التوزيع بجعله ينفرد بالرؤية الوصفية الظاهرية للكلام أو للأشكال اللغوية ليحقق مُعاينة السياق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الكلامي،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وضبط تتابع التأليف اللغوي في هذا السياق بحسب المواقع التي تكون فيها وتظهر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بها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. فالتوزيع هو الموقع الذي يحتله العنصر اللساني ضمن العناصر اللغوية الأخرى المنتظمة مع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بعضها،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لذا يتحدد توزيع عنصر(أ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بمجموع العناصر التي تحيط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به،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ومحيط عنصر يتكون من ترتيب العناصر الأخرى التي ترد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معه،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يتوافق كل منها في موقع معين مع العناصر في تركيب كلامي.  والعناصر التي مع العنصر(أ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موقع معين تدعى انتقاء هذا العنصر بهذا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الموقع»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4"/>
        <w:t>4</w:t>
      </w:r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فالمتكلم يكون لديه الخيار في ترتيب الكلمات التي اختارها للتعبير عن فكرة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معينة،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والتوزيع يعمل على كشف آلية لغة من اللغات في تحديد فئات من الكلام تتميز بتآلف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عناصرها،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كما أن كل كلمة يتعين موقعها بالنظر إلى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lastRenderedPageBreak/>
        <w:t xml:space="preserve">الكلمات التي تجاورها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السياق،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ومن ثمة فتعريف أقسام الكلام تعريفا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موقعيا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يكون باعتبار كل العناصر التي تشغل الموضع نفسه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السياق،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تنتمي إلى القسم نفسه من أقسام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الكلام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5"/>
        <w:t>5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247118" w:rsidRPr="00FF4941" w:rsidRDefault="00247118" w:rsidP="003D148C">
      <w:pPr>
        <w:pStyle w:val="Paragraphedeliste"/>
        <w:numPr>
          <w:ilvl w:val="1"/>
          <w:numId w:val="2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إبعاد</w:t>
      </w:r>
      <w:proofErr w:type="gramEnd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المعنى</w:t>
      </w:r>
    </w:p>
    <w:p w:rsidR="00247118" w:rsidRPr="00FF4941" w:rsidRDefault="00247118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الأشكال اللغوية جعل منها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موضوعا للوصف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علامات لغوية يُعرِّفها بأنها أشكال صوتية ذات معان رغم أنه لا يهتم بجانب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المعنى،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ذلك لأن الدراسة الوصفية العلمية الدقيقة التي يؤمن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بها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ويطبقها أتباع هذه المدرسة لا يمكن تطبيقها على المعنى باعتباره أمرا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باطنيا،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بينما هم يهتمون بكل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ماهو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قابل للقياس والملاحظة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فاستبعدوا علم الدلالة من الوصف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اللغوي،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وعملوا على تحييد الدلالة خدمة للنزعة الشكلية الناتجة عن التأثر بنظريات علم النفس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السلوكي،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فمن وجهة نظرها أنه يمكن ضبط السياقات المختلفة التي يظهر فيها اللغوي وتقييد توزيعه ضمن السلسلة الكلامية 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6"/>
        <w:t>6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. </w:t>
      </w:r>
    </w:p>
    <w:p w:rsidR="00247118" w:rsidRPr="00FF4941" w:rsidRDefault="00247118" w:rsidP="003D148C">
      <w:pPr>
        <w:pStyle w:val="Paragraphedeliste"/>
        <w:numPr>
          <w:ilvl w:val="1"/>
          <w:numId w:val="2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التحليل إلى مكونات مباشرة</w:t>
      </w:r>
    </w:p>
    <w:p w:rsidR="003D148C" w:rsidRPr="00FF4941" w:rsidRDefault="00247118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للتوزيعية إجراءات وطرق معينة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التحليل،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حيث تحلل الجملة بتفكيك بنيتها إلى مكونات وطبقات بعضها أكبر من بعض نزولا عند عناصرها الأولى والتي تسمى(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مورفيمات)،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أو ما يسمى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المونيمات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المدرسة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الفرنسية،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الدالة على وحدة صرفية تحمل معنى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معينا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7"/>
        <w:t>7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والمورفيم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لدى 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التوزيعيين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الأمريكيين له معنى خاص يختلف عنه عند الأوروبيين فهو«يدل على الوحدة النحوية مقابل الوحدة المعجمية عند 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مارتيني،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يعبرون عنه بمصطلح(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اللفظم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3D148C"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Monème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)،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ومصطلح مؤلف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constituant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يطلق عند 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التوزيعيين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على كل 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مورفيم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أو ركن كلامي يمكن أن يدرج في بناء </w:t>
      </w:r>
      <w:proofErr w:type="spell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أكبر،</w:t>
      </w:r>
      <w:proofErr w:type="spell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وتنقسم المؤلفات المباشرة إلى قسمين:</w:t>
      </w:r>
    </w:p>
    <w:p w:rsidR="003D148C" w:rsidRPr="00FF4941" w:rsidRDefault="003D148C" w:rsidP="003D148C">
      <w:pPr>
        <w:pStyle w:val="Paragraphedeliste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المؤلفات المباشرة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les constituants immédiats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وهي مكونات الجملة القابلة لأن تحلل إلى مؤلفات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أصغر،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يفكك فيها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التوزيعيون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بنية الجملة إلى طبقات بعضها فوق بعض إلى الحد الذي يصل فيه التحليل إلى عناصرها الأولية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مورفيمات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r w:rsidR="00247118" w:rsidRPr="00FF4941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8"/>
        <w:t>*</w:t>
      </w:r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،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التي يعدونها وحدات دنيا أخيرة في تحليل ذو دلالة.</w:t>
      </w:r>
    </w:p>
    <w:p w:rsidR="003D148C" w:rsidRPr="00FF4941" w:rsidRDefault="003D148C" w:rsidP="003D148C">
      <w:pPr>
        <w:pStyle w:val="Paragraphedeliste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المؤلفات النهائية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les constituants terminaux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وهي المؤلفات غير القابلة للتحليل إلى مؤلفات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أصغر»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9"/>
        <w:t>8</w:t>
      </w:r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  <w:proofErr w:type="gramEnd"/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lastRenderedPageBreak/>
        <w:t xml:space="preserve">وهذا النمط من التحليل أمسى سائدا في كل منوال يسعى إلى وصف البنى التركيبية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للغات،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وكان هذا التحليل وسيلة تطغى على ما سواها في تحليل بنية الجملة إلى العناصر التي تتألف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منها،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ومعرفة أي جزء من أجزاء الكلام يتبع كل عنصر وذلك بموجب سلوكه اللغوي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الجملة،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وكذا تتبع علاقة الكلمات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ببعضها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. وحينما نقدم مثالا على هذا التحليل نقول: 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أتاك الربيع الطلق يختال ضاحكا 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حيث تتكون هذه الجملة من مؤلفين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مباشرين: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أتاك الربيع الطلق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يختال ضاحكا 1 2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ويمكن تحليل المؤلف 1 أيضا </w:t>
      </w:r>
      <w:proofErr w:type="spellStart"/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إلى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أتاك/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الربيع/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الطلق 3 4 5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وتحليل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المؤلف3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إلى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أتى/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ك 6 7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والمؤلف 4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إلى: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ربيع  8 9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والمؤلف 5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إلى: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طلق  10 11</w:t>
      </w:r>
    </w:p>
    <w:p w:rsidR="003D148C" w:rsidRPr="00FF4941" w:rsidRDefault="003D148C" w:rsidP="003D148C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والمؤلف 2 يتحلل </w:t>
      </w:r>
      <w:proofErr w:type="spellStart"/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إلى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يختال/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ضاحكا    12 13</w:t>
      </w:r>
    </w:p>
    <w:p w:rsidR="003D148C" w:rsidRPr="00FF4941" w:rsidRDefault="003D148C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ويمكن تحليل هذا النموذج حسب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مايلي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: </w:t>
      </w:r>
    </w:p>
    <w:p w:rsidR="003D148C" w:rsidRPr="00FF4941" w:rsidRDefault="003D148C" w:rsidP="003D148C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المؤلفات 1 و 2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و3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و4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و5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هي مؤلفات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مباشرة،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أي قابلة للتحليل إلى مؤلفات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أصغر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3D148C" w:rsidRPr="00FF4941" w:rsidRDefault="003D148C" w:rsidP="003D148C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أما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المؤلفات 6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و7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و8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و9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و10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و11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و12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و13مؤلفات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نهائية أي غير قابلة للتحليل إلى مؤلفات أصغر منها ذات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دلالة،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فيمكن أن تدرج ضمن بناء أكبر.</w:t>
      </w:r>
    </w:p>
    <w:p w:rsidR="003D148C" w:rsidRDefault="003D148C" w:rsidP="003D148C">
      <w:pPr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فالتمثيل التوزيعي للجملة حسب صندوق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هوكات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تمثيل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تصاعدي،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يبدأ من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من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حيث ينتهي التحليل إلى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مؤلفات،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أي ابتداء من العناصر الأولية التي لا تقبل التحليل إلى مؤلفات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أصغر،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فالجملة وحدة لسانية قابلة للتحليل إلى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شطرين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أساسيين؛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ركن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فعلي،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وركن فعلي آخر يؤول اسما(حال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تابعا للركن قبله. فبهذه الطريقة يمكن للباحث في مجال اللسانيات ضبط الأشكال اللسانية في أي لغة من اللغات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وتصنيفها،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لأن النحو حسب هذه المدرسة هو علم تصنيفي غايته ضبط الصيغ الأساسية في اللغة حسب درجة التواتر. </w:t>
      </w:r>
    </w:p>
    <w:p w:rsidR="002B041C" w:rsidRPr="00FF4941" w:rsidRDefault="002B041C" w:rsidP="003D148C">
      <w:p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</w:p>
    <w:p w:rsidR="003D148C" w:rsidRPr="009B6531" w:rsidRDefault="009B6531" w:rsidP="009B6531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lastRenderedPageBreak/>
        <w:t xml:space="preserve">2. </w:t>
      </w:r>
      <w:r w:rsidR="003D148C" w:rsidRPr="009B6531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3D148C" w:rsidRPr="009B6531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منهج الدراسة</w:t>
      </w:r>
    </w:p>
    <w:p w:rsidR="00247118" w:rsidRPr="00FF4941" w:rsidRDefault="003D148C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يُعرف منهج هذه المدرسة بالمنهج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أوالهيكلي،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أوالشكلي،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أوالسلوكي،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انطلق أصحابه من مفهوم البنية عند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ديسوسير،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تعاملوا معه بدقة ووضعوه منهجهم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الموضوعي،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والذي ساد في النصف الأول من القرن العشرين من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(1920-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1950م)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أمريكا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0"/>
        <w:t>9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. طوروا منهجهم الوصفي إلى منهج تصنيفي يعتمد على </w:t>
      </w:r>
      <w:proofErr w:type="spellStart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التوزيع،</w:t>
      </w:r>
      <w:proofErr w:type="spellEnd"/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ويمكن إجمال الخطوات المتبعة في الدراسة على النحو الآتي:</w:t>
      </w:r>
    </w:p>
    <w:p w:rsidR="00247118" w:rsidRPr="00FF4941" w:rsidRDefault="00247118" w:rsidP="003D148C">
      <w:pPr>
        <w:pStyle w:val="Paragraphedeliste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«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مرحلة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تكوين المدونة أو نص موضوع الدراسة من الأشكال المسموعة التي يسجلها الباحث لمجموعة من الناس المتعلمين بلغة واحدة(المخبِرون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آلات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التسجيل،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وقد يكون الباحث دارسا ومُخبِرا في الوقت نفسه.</w:t>
      </w:r>
    </w:p>
    <w:p w:rsidR="00247118" w:rsidRPr="00FF4941" w:rsidRDefault="00247118" w:rsidP="003D148C">
      <w:pPr>
        <w:pStyle w:val="Paragraphedeliste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القيام بالدراسة الصوتية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الفونولوجية: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حيث يكتب المسموع كتابة صوتية يراعي فيها التنغيم والنبر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والقطع،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والهدف هو البحث عن الفوارق الصوتية المترابطة لتكوين ثبت الوحدات الصوتية الوظائفية الدنيا(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الفونيم)،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وإدراجها في نظام صوتي يعكس ويمثل حقيقة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اللغة،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وهي عُمدة البحث عندهم.</w:t>
      </w:r>
    </w:p>
    <w:p w:rsidR="00247118" w:rsidRPr="00FF4941" w:rsidRDefault="00247118" w:rsidP="003D148C">
      <w:pPr>
        <w:pStyle w:val="Paragraphedeliste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تُدرس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الوحدات الصرفية أو الصيغ </w:t>
      </w:r>
      <w:r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Morphème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وتُصنَّف وتُبوَّب ليصل الباحث في الختام إلى معرفة النظام العام الذي تخضع له اللغة.</w:t>
      </w:r>
    </w:p>
    <w:p w:rsidR="003D148C" w:rsidRPr="00FF4941" w:rsidRDefault="00247118" w:rsidP="003D148C">
      <w:pPr>
        <w:pStyle w:val="Paragraphedeliste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يقسمون المدونة في الدراسة التركيبية إلى جمل لدراسة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أشكالها،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ويحللون عناصرها التي تكونها ليعرفوا كل جزء من أجزاء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الكلام،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ومحصِّلة هذه الدراسة في هذا المستوى هي التي تكوِّن النحو(نحو اللغة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المدروسة)»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1"/>
        <w:t>10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  <w:proofErr w:type="gramEnd"/>
    </w:p>
    <w:p w:rsidR="003D148C" w:rsidRPr="00FF4941" w:rsidRDefault="003D148C" w:rsidP="003D148C">
      <w:pPr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ويصر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أصحاب هذه المدرسة على احترام الترتيب في تطبيق هذه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الخطوات،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حتى لا يُرفض البحث.</w:t>
      </w:r>
    </w:p>
    <w:p w:rsidR="003D148C" w:rsidRPr="00FF4941" w:rsidRDefault="003D148C" w:rsidP="003D148C">
      <w:pPr>
        <w:pStyle w:val="Paragraphedeliste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استفاد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من خصائص المنهج المادي في علم النفس السلوكي الذي طوره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واتسون،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والذي هدف إلى إخضاع السلوك الإنساني للدرس العلمي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التجريبي،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معارضا بذلك بعض علماء عصره الذين قالوا بفكرة الروح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والشعور،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باعتبارها متعلقة بالجانب الباطني للإنسان غير قابلة للملاحظة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المباشرة،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ولا فائدة علمية تُرتجى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منها،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حين ملاحظة سلوك الأعضاء فيما تفعله أو تقوله يمكن البحث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فيه،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وهو ما فعله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متأثرا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بواتسون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247118" w:rsidRPr="00FF4941" w:rsidRDefault="003D148C" w:rsidP="003D148C">
      <w:pPr>
        <w:pStyle w:val="Paragraphedeliste"/>
        <w:numPr>
          <w:ilvl w:val="0"/>
          <w:numId w:val="5"/>
        </w:numPr>
        <w:shd w:val="clear" w:color="auto" w:fill="FFFFFF" w:themeFill="background1"/>
        <w:ind w:left="36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تناول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الدرس اللغوي دراسة علمية منهجية كما سبقت الإشارة إلى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ذلك،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واعتبر المعنى هو الاستجابة التي يستدعيها موقف الكلام عند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السامع،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والأحداث العملية التي تسبق الكلام وتتلوه أحداث تدخل في دراسة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المعنى،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لأنها من عناصر موقف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الكلام،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ولها سمة الوجود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الخارجي،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ومن ثمة  يرى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أننا لا ندرس اللغة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ذاتها،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وإنما دراسة أصوات الكلام من غير اعتبار المعاني التي تحملها هو دراسة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تجريبية،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ومعرفة أوجه التطابق والتباين بين الأشكال اللغوية لابد أن تُبنى على اعتبار الدلالة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أوالمعنى،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فهو الذي يساعد على دراسة الأشكال اللغوية.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وبنظره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امتلاك معرفة صحيحة علميا عن محيط المتكلِّم مرهون بتطوير المعرفة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الإنسانية،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حيث تبقى دراسة المعنى محل سؤال مطروح يبحث عن دراسة علمية دقيقة. وخلاصة القول المنهج التوزيعي بنيوي وصفي يدرس الظواهر ويؤجل الأشياء التي يتعذر مشاهدتها ودراستها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بموضوعية،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فيتركها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لتطورالمعرفة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العلمية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2"/>
        <w:t>11</w:t>
      </w:r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247118" w:rsidRPr="00FF4941" w:rsidRDefault="00247118" w:rsidP="003D148C">
      <w:pPr>
        <w:pStyle w:val="Paragraphedeliste"/>
        <w:numPr>
          <w:ilvl w:val="0"/>
          <w:numId w:val="5"/>
        </w:num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يحلل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اللغة إلى مستويات ثلاث هي:</w:t>
      </w:r>
    </w:p>
    <w:p w:rsidR="00247118" w:rsidRPr="00FF4941" w:rsidRDefault="00247118" w:rsidP="003D148C">
      <w:pPr>
        <w:pStyle w:val="Paragraphedeliste"/>
        <w:numPr>
          <w:ilvl w:val="0"/>
          <w:numId w:val="6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المستوى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الفونيمي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 ويحتوي على الوحدات الصوتية.</w:t>
      </w:r>
    </w:p>
    <w:p w:rsidR="00247118" w:rsidRPr="00FF4941" w:rsidRDefault="00247118" w:rsidP="003D148C">
      <w:pPr>
        <w:pStyle w:val="Paragraphedeliste"/>
        <w:numPr>
          <w:ilvl w:val="0"/>
          <w:numId w:val="6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المستوى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المورفيمي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: ويحتوي الوحدات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المعجمية؛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مثل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الكلمة،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الصيغة،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السابقة،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اللاحقة،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الداخلة،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الساق،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الجذر.</w:t>
      </w:r>
    </w:p>
    <w:p w:rsidR="00247118" w:rsidRPr="00FF4941" w:rsidRDefault="00247118" w:rsidP="003D148C">
      <w:pPr>
        <w:pStyle w:val="Paragraphedeliste"/>
        <w:numPr>
          <w:ilvl w:val="0"/>
          <w:numId w:val="6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المستوى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التركيبي: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ويحتوي على تراكيب أكبر من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الكلمة،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من مثل شبه الجملة.</w:t>
      </w:r>
    </w:p>
    <w:p w:rsidR="003D148C" w:rsidRPr="00FF4941" w:rsidRDefault="00247118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وفي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عملية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التحليل يقوم بالتقطيع الذي يهدف إلى تحديد المكونات لا الوظيفية فيستعمل الخطوط الرأسية(العمودية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والأقواس،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والتحليل المشجّر. هذا التقسيم لا يعتمد على الوظيفة النحوية التي اتبعتها الطريقة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التقليدية،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بل يركز على قانون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التوزيع،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وإمكان إحلال عناصر مكان أخرى تعد امتدادا لها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3"/>
        <w:t>12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وهذا المثال يوضح </w:t>
      </w:r>
      <w:proofErr w:type="gram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هذا</w:t>
      </w:r>
      <w:proofErr w:type="gramEnd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النمط من التوزيع:</w:t>
      </w:r>
    </w:p>
    <w:p w:rsidR="003D148C" w:rsidRPr="00FF4941" w:rsidRDefault="003D148C" w:rsidP="003D148C">
      <w:pPr>
        <w:pStyle w:val="Paragraphedeliste"/>
        <w:numPr>
          <w:ilvl w:val="3"/>
          <w:numId w:val="7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الشيخ يروي تجارب حياته     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ينظر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مبتسما</w:t>
      </w:r>
    </w:p>
    <w:p w:rsidR="003D148C" w:rsidRPr="00FF4941" w:rsidRDefault="003D148C" w:rsidP="003D148C">
      <w:pPr>
        <w:pStyle w:val="Paragraphedeliste"/>
        <w:numPr>
          <w:ilvl w:val="1"/>
          <w:numId w:val="8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الجد               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ينظر مبتسما   </w:t>
      </w:r>
    </w:p>
    <w:p w:rsidR="003D148C" w:rsidRPr="00FF4941" w:rsidRDefault="003D148C" w:rsidP="003D148C">
      <w:pPr>
        <w:pStyle w:val="Paragraphedeliste"/>
        <w:numPr>
          <w:ilvl w:val="1"/>
          <w:numId w:val="8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والد الأب    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ينظر مبتسما</w:t>
      </w:r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حَلَّ (1.1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و(1.2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محل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الجزء الأول من الجملة(1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بينما حل محل الجزء الثاني من الجملة(1.3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(1.4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كما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يلي:</w:t>
      </w:r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(1.1)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الجد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  (1.3)فرح</w:t>
      </w:r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lastRenderedPageBreak/>
        <w:t>(1.2)والد الأب      (1.4)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بشوش</w:t>
      </w:r>
      <w:proofErr w:type="gramEnd"/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فالهدف بحث المكونات المناسبة في التركيب لا الوظيفة. </w:t>
      </w:r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ق. فالشيخ الذي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يروي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تجارب حياته هو(الجد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وهو(والد الأب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ن. ينظر </w:t>
      </w: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مبتسما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تطابق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فرح)و(بشوش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).</w:t>
      </w:r>
      <w:proofErr w:type="spellEnd"/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ومكونات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(ق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تعادل مكونات(ن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).</w:t>
      </w:r>
      <w:proofErr w:type="spellEnd"/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فالجملة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طبقات متراكمة بعضها فوق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بعض،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سلسلة متتابعة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العناصر،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ويمكن استعمال ثلاث وسائل لتقطيعها:</w:t>
      </w:r>
    </w:p>
    <w:p w:rsidR="003D148C" w:rsidRPr="00FF4941" w:rsidRDefault="003D148C" w:rsidP="003D148C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الخطوط</w:t>
      </w:r>
      <w:proofErr w:type="gramEnd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الرأسية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للفصل بين القسمين الأساسيين في الجزء الأول كقولنا:</w:t>
      </w:r>
    </w:p>
    <w:p w:rsidR="003D148C" w:rsidRPr="00FF4941" w:rsidRDefault="00A12AB5" w:rsidP="003D148C">
      <w:p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1.75pt;margin-top:.6pt;width:0;height:13.5pt;z-index:251661312" o:connectortype="straight"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8" type="#_x0000_t32" style="position:absolute;left:0;text-align:left;margin-left:353.7pt;margin-top:.6pt;width:.05pt;height:13.5pt;z-index:251662336" o:connectortype="straight"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6" type="#_x0000_t32" style="position:absolute;left:0;text-align:left;margin-left:412.1pt;margin-top:3.6pt;width:.05pt;height:12.75pt;z-index:251660288" o:connectortype="straight">
            <w10:wrap anchorx="page"/>
          </v:shape>
        </w:pict>
      </w:r>
      <w:proofErr w:type="gram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أحمد</w:t>
      </w:r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طيب</w:t>
      </w:r>
      <w:proofErr w:type="gramEnd"/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يحبه </w:t>
      </w:r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الناس</w:t>
      </w:r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وخطين بين القسمين الأساسيين في الجزء الثاني :</w:t>
      </w:r>
    </w:p>
    <w:p w:rsidR="003D148C" w:rsidRPr="00FF4941" w:rsidRDefault="00A12AB5" w:rsidP="003D148C">
      <w:p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3" type="#_x0000_t32" style="position:absolute;left:0;text-align:left;margin-left:337.15pt;margin-top:.6pt;width:0;height:14.25pt;z-index:251667456" o:connectortype="straight"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2" type="#_x0000_t32" style="position:absolute;left:0;text-align:left;margin-left:381.8pt;margin-top:.6pt;width:.05pt;height:16.15pt;flip:y;z-index:251666432" o:connectortype="straight"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1" type="#_x0000_t32" style="position:absolute;left:0;text-align:left;margin-left:412.15pt;margin-top:.6pt;width:0;height:14.25pt;z-index:251665408" o:connectortype="straight"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0" type="#_x0000_t32" style="position:absolute;left:0;text-align:left;margin-left:353.7pt;margin-top:.6pt;width:0;height:14.25pt;flip:y;z-index:251664384" o:connectortype="straight"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9" type="#_x0000_t32" style="position:absolute;left:0;text-align:left;margin-left:358.55pt;margin-top:.6pt;width:0;height:14.25pt;flip:y;z-index:251663360" o:connectortype="straight">
            <w10:wrap anchorx="page"/>
          </v:shape>
        </w:pic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أحمد</w:t>
      </w:r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طيب</w:t>
      </w:r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يحبـ   ـه </w:t>
      </w:r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الناس</w:t>
      </w:r>
    </w:p>
    <w:p w:rsidR="003D148C" w:rsidRPr="00FF4941" w:rsidRDefault="00A12AB5" w:rsidP="003D148C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A12AB5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220.15pt;margin-top:23.45pt;width:3.55pt;height:24.75pt;z-index:251669504">
            <w10:wrap anchorx="page"/>
          </v:shape>
        </w:pict>
      </w:r>
      <w:r w:rsidRPr="00A12AB5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left:0;text-align:left;margin-left:436.35pt;margin-top:23.45pt;width:3.55pt;height:24.75pt;z-index:251668480">
            <w10:wrap anchorx="page"/>
          </v:shape>
        </w:pict>
      </w:r>
      <w:r w:rsidR="003D148C"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استعمال الأقواس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كما يلي:</w:t>
      </w:r>
    </w:p>
    <w:p w:rsidR="003D148C" w:rsidRPr="00FF4941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(أحمد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(رجل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(مسالم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(في مجتمعه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)))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: استشفها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من الجبر.</w:t>
      </w:r>
    </w:p>
    <w:p w:rsidR="003D148C" w:rsidRPr="00FF4941" w:rsidRDefault="003D148C" w:rsidP="003D148C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283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استعمال التحليل </w:t>
      </w:r>
      <w:proofErr w:type="spellStart"/>
      <w:proofErr w:type="gram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المشجر</w:t>
      </w:r>
      <w:proofErr w:type="gram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طريقة تعكس العلاقة بين مكونات الجملة مثل قولنا:</w:t>
      </w:r>
    </w:p>
    <w:p w:rsidR="003D148C" w:rsidRPr="00FF4941" w:rsidRDefault="00A12AB5" w:rsidP="003D148C">
      <w:p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8" type="#_x0000_t32" style="position:absolute;left:0;text-align:left;margin-left:182.25pt;margin-top:20.8pt;width:64.55pt;height:34.85pt;flip:x;z-index:251672576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7" type="#_x0000_t32" style="position:absolute;left:0;text-align:left;margin-left:261.4pt;margin-top:18.55pt;width:0;height:37.1pt;z-index:251671552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6" type="#_x0000_t32" style="position:absolute;left:0;text-align:left;margin-left:281.3pt;margin-top:18.55pt;width:72.45pt;height:32.25pt;z-index:251670528" o:connectortype="straight">
            <v:stroke endarrow="block"/>
            <w10:wrap anchorx="page"/>
          </v:shape>
        </w:pic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</w:t>
      </w:r>
      <w:r w:rsidR="003D148C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                 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</w:t>
      </w:r>
      <w:proofErr w:type="gramStart"/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الجملة</w:t>
      </w:r>
      <w:proofErr w:type="gramEnd"/>
    </w:p>
    <w:p w:rsidR="003D148C" w:rsidRDefault="003D148C" w:rsidP="003D148C">
      <w:pPr>
        <w:shd w:val="clear" w:color="auto" w:fill="FFFFFF" w:themeFill="background1"/>
        <w:tabs>
          <w:tab w:val="left" w:pos="283"/>
          <w:tab w:val="left" w:pos="425"/>
        </w:tabs>
        <w:ind w:left="360"/>
        <w:jc w:val="both"/>
        <w:rPr>
          <w:sz w:val="28"/>
          <w:szCs w:val="28"/>
          <w:rtl/>
          <w:lang w:val="fr-FR" w:bidi="ar-DZ"/>
        </w:rPr>
      </w:pPr>
    </w:p>
    <w:p w:rsidR="003D148C" w:rsidRPr="00FF4941" w:rsidRDefault="00A12AB5" w:rsidP="003D148C">
      <w:pPr>
        <w:ind w:firstLine="72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12AB5">
        <w:rPr>
          <w:noProof/>
          <w:sz w:val="28"/>
          <w:szCs w:val="28"/>
          <w:rtl/>
        </w:rPr>
        <w:pict>
          <v:shape id="_x0000_s1042" type="#_x0000_t32" style="position:absolute;left:0;text-align:left;margin-left:157.9pt;margin-top:24.5pt;width:17.25pt;height:24.75pt;flip:x;z-index:251676672" o:connectortype="straight">
            <v:stroke endarrow="block"/>
            <w10:wrap anchorx="page"/>
          </v:shape>
        </w:pict>
      </w:r>
      <w:r w:rsidRPr="00A12AB5">
        <w:rPr>
          <w:noProof/>
          <w:sz w:val="28"/>
          <w:szCs w:val="28"/>
          <w:rtl/>
        </w:rPr>
        <w:pict>
          <v:shape id="_x0000_s1041" type="#_x0000_t32" style="position:absolute;left:0;text-align:left;margin-left:186.05pt;margin-top:24.5pt;width:14.6pt;height:24.75pt;z-index:251675648" o:connectortype="straight">
            <v:stroke endarrow="block"/>
            <w10:wrap anchorx="page"/>
          </v:shape>
        </w:pict>
      </w:r>
      <w:r w:rsidRPr="00A12AB5">
        <w:rPr>
          <w:noProof/>
          <w:sz w:val="28"/>
          <w:szCs w:val="28"/>
          <w:rtl/>
        </w:rPr>
        <w:pict>
          <v:shape id="_x0000_s1040" type="#_x0000_t32" style="position:absolute;left:0;text-align:left;margin-left:330.05pt;margin-top:21.15pt;width:23.65pt;height:28.1pt;flip:x;z-index:251674624" o:connectortype="straight">
            <v:stroke endarrow="block"/>
            <w10:wrap anchorx="page"/>
          </v:shape>
        </w:pict>
      </w:r>
      <w:r w:rsidRPr="00A12AB5">
        <w:rPr>
          <w:noProof/>
          <w:sz w:val="28"/>
          <w:szCs w:val="28"/>
          <w:rtl/>
        </w:rPr>
        <w:pict>
          <v:shape id="_x0000_s1039" type="#_x0000_t32" style="position:absolute;left:0;text-align:left;margin-left:364.2pt;margin-top:21.15pt;width:17.65pt;height:25.1pt;z-index:251673600" o:connectortype="straight">
            <v:stroke endarrow="block"/>
            <w10:wrap anchorx="page"/>
          </v:shape>
        </w:pict>
      </w:r>
      <w:r w:rsidR="003D148C">
        <w:rPr>
          <w:rFonts w:hint="cs"/>
          <w:sz w:val="28"/>
          <w:szCs w:val="28"/>
          <w:rtl/>
          <w:lang w:val="fr-FR" w:bidi="ar-DZ"/>
        </w:rPr>
        <w:t xml:space="preserve">          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استوعبنا </w:t>
      </w:r>
      <w:r w:rsidR="003D148C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محاضرة       </w:t>
      </w:r>
      <w:r w:rsidR="003D148C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</w:t>
      </w:r>
      <w:r w:rsidR="003D148C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اليوم           </w:t>
      </w:r>
    </w:p>
    <w:p w:rsidR="003D148C" w:rsidRDefault="003D148C" w:rsidP="003D148C">
      <w:pPr>
        <w:tabs>
          <w:tab w:val="left" w:pos="1294"/>
        </w:tabs>
        <w:rPr>
          <w:sz w:val="28"/>
          <w:szCs w:val="28"/>
          <w:rtl/>
          <w:lang w:val="fr-FR" w:bidi="ar-DZ"/>
        </w:rPr>
      </w:pPr>
    </w:p>
    <w:p w:rsidR="003D148C" w:rsidRPr="00FF4941" w:rsidRDefault="003D148C" w:rsidP="003D148C">
      <w:pPr>
        <w:tabs>
          <w:tab w:val="left" w:pos="1294"/>
        </w:tabs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              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استوعب    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نا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ال         يوم   </w:t>
      </w:r>
    </w:p>
    <w:p w:rsidR="003D148C" w:rsidRPr="00FF4941" w:rsidRDefault="003D148C" w:rsidP="003D148C">
      <w:pPr>
        <w:tabs>
          <w:tab w:val="left" w:pos="1294"/>
        </w:tabs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                                                                              </w:t>
      </w:r>
      <w:proofErr w:type="gram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المخطط</w:t>
      </w:r>
      <w:proofErr w:type="gramEnd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-1-</w:t>
      </w:r>
    </w:p>
    <w:p w:rsidR="003D148C" w:rsidRPr="00FF4941" w:rsidRDefault="003D148C" w:rsidP="003D148C">
      <w:pPr>
        <w:tabs>
          <w:tab w:val="left" w:pos="1294"/>
        </w:tabs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lastRenderedPageBreak/>
        <w:t xml:space="preserve">وتوجد تقنيات عملية خاصة لدراسة أو تحليل اللغة كما سبقت الإشارة إليه سابقا بما سمي صندوق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هوكات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Hockett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يمثله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المخطط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1525"/>
        <w:gridCol w:w="284"/>
        <w:gridCol w:w="708"/>
        <w:gridCol w:w="567"/>
        <w:gridCol w:w="426"/>
        <w:gridCol w:w="708"/>
        <w:gridCol w:w="1134"/>
        <w:gridCol w:w="284"/>
        <w:gridCol w:w="1701"/>
      </w:tblGrid>
      <w:tr w:rsidR="003D148C" w:rsidRPr="00FF4941" w:rsidTr="00C147EB">
        <w:tc>
          <w:tcPr>
            <w:tcW w:w="1525" w:type="dxa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تجاذب</w:t>
            </w:r>
          </w:p>
        </w:tc>
        <w:tc>
          <w:tcPr>
            <w:tcW w:w="992" w:type="dxa"/>
            <w:gridSpan w:val="2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spell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نا</w:t>
            </w:r>
            <w:proofErr w:type="spellEnd"/>
          </w:p>
        </w:tc>
        <w:tc>
          <w:tcPr>
            <w:tcW w:w="1701" w:type="dxa"/>
            <w:gridSpan w:val="3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gram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أطراف</w:t>
            </w:r>
            <w:proofErr w:type="gramEnd"/>
          </w:p>
        </w:tc>
        <w:tc>
          <w:tcPr>
            <w:tcW w:w="1418" w:type="dxa"/>
            <w:gridSpan w:val="2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الـ</w:t>
            </w:r>
          </w:p>
        </w:tc>
        <w:tc>
          <w:tcPr>
            <w:tcW w:w="1701" w:type="dxa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gram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حديث</w:t>
            </w:r>
            <w:proofErr w:type="gramEnd"/>
          </w:p>
        </w:tc>
      </w:tr>
      <w:tr w:rsidR="003D148C" w:rsidRPr="00FF4941" w:rsidTr="00C147EB">
        <w:tc>
          <w:tcPr>
            <w:tcW w:w="1809" w:type="dxa"/>
            <w:gridSpan w:val="2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تجاذب</w:t>
            </w:r>
          </w:p>
        </w:tc>
        <w:tc>
          <w:tcPr>
            <w:tcW w:w="1275" w:type="dxa"/>
            <w:gridSpan w:val="2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spell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نا</w:t>
            </w:r>
            <w:proofErr w:type="spellEnd"/>
          </w:p>
        </w:tc>
        <w:tc>
          <w:tcPr>
            <w:tcW w:w="2268" w:type="dxa"/>
            <w:gridSpan w:val="3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gram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أطراف</w:t>
            </w:r>
            <w:proofErr w:type="gramEnd"/>
          </w:p>
        </w:tc>
        <w:tc>
          <w:tcPr>
            <w:tcW w:w="1985" w:type="dxa"/>
            <w:gridSpan w:val="2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gram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الحديث</w:t>
            </w:r>
            <w:proofErr w:type="gramEnd"/>
          </w:p>
        </w:tc>
      </w:tr>
      <w:tr w:rsidR="003D148C" w:rsidRPr="00FF4941" w:rsidTr="00C147EB">
        <w:tc>
          <w:tcPr>
            <w:tcW w:w="3510" w:type="dxa"/>
            <w:gridSpan w:val="5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تجـــــاذبـنــــــــــــا</w:t>
            </w:r>
          </w:p>
        </w:tc>
        <w:tc>
          <w:tcPr>
            <w:tcW w:w="3827" w:type="dxa"/>
            <w:gridSpan w:val="4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أطـراف الحـديـــث</w:t>
            </w:r>
          </w:p>
        </w:tc>
      </w:tr>
      <w:tr w:rsidR="003D148C" w:rsidRPr="00FF4941" w:rsidTr="00C147EB">
        <w:tc>
          <w:tcPr>
            <w:tcW w:w="7334" w:type="dxa"/>
            <w:gridSpan w:val="9"/>
          </w:tcPr>
          <w:p w:rsidR="003D148C" w:rsidRPr="00FF4941" w:rsidRDefault="003D148C" w:rsidP="00C147EB">
            <w:pPr>
              <w:tabs>
                <w:tab w:val="left" w:pos="1294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spellStart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>تجاذبنــــــــأ</w:t>
            </w:r>
            <w:proofErr w:type="spellEnd"/>
            <w:r w:rsidRPr="00FF4941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  <w:t xml:space="preserve"> أطراف الحــديــــــــث</w:t>
            </w:r>
          </w:p>
        </w:tc>
      </w:tr>
    </w:tbl>
    <w:p w:rsidR="003D148C" w:rsidRPr="00FF4941" w:rsidRDefault="003D148C" w:rsidP="003D148C">
      <w:pPr>
        <w:tabs>
          <w:tab w:val="left" w:pos="1294"/>
        </w:tabs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proofErr w:type="gramStart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المخطط</w:t>
      </w:r>
      <w:proofErr w:type="gramEnd"/>
      <w:r w:rsidRPr="00FF4941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-2-</w:t>
      </w:r>
    </w:p>
    <w:p w:rsidR="00247118" w:rsidRPr="00FF4941" w:rsidRDefault="003D148C" w:rsidP="003D148C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يظهر التوزيع فيه تصاعديا ينتهي فيه التحليل إلى العناصر الأولية التي لا تقبل تقسيما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أصغر،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ونهاية التحليل حسب صندوق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هوكات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التوزيعي هو الجملة التي تمثل الوحدة اللسانية القابلة للتحليل</w:t>
      </w:r>
      <w:r w:rsidR="00247118"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4"/>
        <w:t>13</w:t>
      </w:r>
      <w:r w:rsidR="00247118"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247118" w:rsidRPr="00FF4941" w:rsidRDefault="00247118" w:rsidP="003D148C">
      <w:p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وحسب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هاريس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lang w:val="fr-FR" w:bidi="ar-DZ"/>
        </w:rPr>
        <w:t>Hariss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أحد الباحثين في اللسانيات البنيوية الأمريكية وهو من جيل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بلومفيلد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المتأخرين،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فإن التحليل التوزيعي يعاني من بعض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النقائص،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ومن ثمة فقد لجأ إلى فكرة التحويل في اللغة منذ عام 1952 فأصبح التوزيع عنده يقصد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به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</w:p>
    <w:p w:rsidR="00247118" w:rsidRPr="00FF4941" w:rsidRDefault="00247118" w:rsidP="003D148C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«مجموع السياقات التي يأتي فيها مكون لغوي معين.</w:t>
      </w:r>
    </w:p>
    <w:p w:rsidR="00247118" w:rsidRPr="00FF4941" w:rsidRDefault="00247118" w:rsidP="003D148C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النظر في مدى تأثير هذه السياقات على المكون اللغوي سواء كان وحدة صوتية (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فونيم)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أم وحدة صرفية(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مورفيم).</w:t>
      </w:r>
      <w:proofErr w:type="spellEnd"/>
    </w:p>
    <w:p w:rsidR="00247118" w:rsidRPr="00FF4941" w:rsidRDefault="00247118" w:rsidP="003D148C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اعتمد على المعنى وعلى مقياس التوزيع لتحديد البنى الصوتية الفونولوجية والنحوية التركيبية.</w:t>
      </w:r>
    </w:p>
    <w:p w:rsidR="00247118" w:rsidRPr="00FF4941" w:rsidRDefault="00247118" w:rsidP="003D148C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طور في إطار(فكرة التحويل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مفهومي: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الجملة النواة(الأصل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والتركيب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المحوَّل،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وهما المفهومان اللذان انطلق منهما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تشومسكي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نظريته التوليدية التحويلية.</w:t>
      </w:r>
    </w:p>
    <w:p w:rsidR="00247118" w:rsidRPr="00FF4941" w:rsidRDefault="00247118" w:rsidP="003D148C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رأى أن تمييز الأصوات أو تحديد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الفونيمات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يمر عبر التمييز بين معاني الوحدات الصرفية أي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الكلمات،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فلكي نميز بين(الدال والطاء والنون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لابد من النظر في المباني الصرفية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(دال-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طال-نال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وما تؤديه الأصوات أو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الفونيمات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السالفة من تغيير في الدلالة أو في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المعنى،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وبهذا يكشف عن أن التمييز بين الأصوات أسهل وأكثر دقة علمية من التحدث عنها.</w:t>
      </w:r>
    </w:p>
    <w:p w:rsidR="003D148C" w:rsidRPr="00FF4941" w:rsidRDefault="00247118" w:rsidP="003D148C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لاحظ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هاريس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تشابها بين اللغات على مستوى الجمل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المحولة،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ومن ثمة تبعه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تشومسكي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الذي برز في البحث اللساني انطلاقا من الخلفية التي حددها </w:t>
      </w:r>
      <w:proofErr w:type="spellStart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هاريس</w:t>
      </w:r>
      <w:proofErr w:type="spellEnd"/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»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val="fr-FR" w:bidi="ar-DZ"/>
        </w:rPr>
        <w:endnoteReference w:customMarkFollows="1" w:id="15"/>
        <w:t>14</w:t>
      </w:r>
      <w:r w:rsidRPr="00FF494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997E4E" w:rsidRPr="003D148C" w:rsidRDefault="00997E4E">
      <w:pPr>
        <w:rPr>
          <w:lang w:val="fr-FR"/>
        </w:rPr>
      </w:pPr>
    </w:p>
    <w:sectPr w:rsidR="00997E4E" w:rsidRPr="003D148C" w:rsidSect="0046469D">
      <w:footerReference w:type="default" r:id="rId8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84" w:rsidRDefault="00EC7784" w:rsidP="003D148C">
      <w:pPr>
        <w:spacing w:after="0" w:line="240" w:lineRule="auto"/>
      </w:pPr>
      <w:r>
        <w:separator/>
      </w:r>
    </w:p>
  </w:endnote>
  <w:endnote w:type="continuationSeparator" w:id="0">
    <w:p w:rsidR="00EC7784" w:rsidRDefault="00EC7784" w:rsidP="003D148C">
      <w:pPr>
        <w:spacing w:after="0" w:line="240" w:lineRule="auto"/>
      </w:pPr>
      <w:r>
        <w:continuationSeparator/>
      </w:r>
    </w:p>
  </w:endnote>
  <w:endnote w:id="1">
    <w:p w:rsidR="00247118" w:rsidRPr="008B6C4D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8B6C4D">
        <w:rPr>
          <w:rStyle w:val="Appeldenotedefin"/>
          <w:rFonts w:ascii="Simplified Arabic" w:hAnsi="Simplified Arabic" w:cs="Simplified Arabic"/>
          <w:sz w:val="24"/>
          <w:szCs w:val="24"/>
          <w:rtl/>
        </w:rPr>
        <w:t>1</w:t>
      </w:r>
      <w:r w:rsidRPr="008B6C4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السعيد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شنوقة،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مدخل إلى المدارس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اللسانية،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85.</w:t>
      </w:r>
    </w:p>
  </w:endnote>
  <w:endnote w:id="2">
    <w:p w:rsidR="00247118" w:rsidRPr="008B6C4D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8B6C4D">
        <w:rPr>
          <w:rStyle w:val="Appeldenotedefin"/>
          <w:rFonts w:ascii="Simplified Arabic" w:hAnsi="Simplified Arabic" w:cs="Simplified Arabic"/>
          <w:sz w:val="24"/>
          <w:szCs w:val="24"/>
          <w:rtl/>
        </w:rPr>
        <w:t>2</w:t>
      </w:r>
      <w:r w:rsidRPr="008B6C4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بلومفيلد،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اللغة،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103،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نقلا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عن: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كريم زكي حسام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الدين،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أصول تراثية في علم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اللغة،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وكالة الأهرام للتوزيع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القاهرة،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ط1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1998،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ص64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endnote>
  <w:endnote w:id="3">
    <w:p w:rsidR="00247118" w:rsidRPr="008B6C4D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8B6C4D">
        <w:rPr>
          <w:rStyle w:val="Appeldenotedefin"/>
          <w:rFonts w:ascii="Simplified Arabic" w:hAnsi="Simplified Arabic" w:cs="Simplified Arabic"/>
          <w:sz w:val="24"/>
          <w:szCs w:val="24"/>
          <w:rtl/>
        </w:rPr>
        <w:t>3</w:t>
      </w:r>
      <w:r w:rsidRPr="008B6C4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السعيد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شنوفة،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مدخل إلى المدارس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اللسانية،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>ص86،</w:t>
      </w:r>
      <w:proofErr w:type="spellEnd"/>
      <w:r w:rsidRPr="008B6C4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87.</w:t>
      </w:r>
    </w:p>
  </w:endnote>
  <w:endnote w:id="4">
    <w:p w:rsidR="00247118" w:rsidRPr="00247118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4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السعيد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شنوفة،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مدخل إلى المدارس اللسانية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ص95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>.</w:t>
      </w:r>
    </w:p>
  </w:endnote>
  <w:endnote w:id="5">
    <w:p w:rsidR="00247118" w:rsidRPr="00247118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5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ينظر: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الصفحة نفسها.</w:t>
      </w:r>
    </w:p>
  </w:endnote>
  <w:endnote w:id="6">
    <w:p w:rsidR="00247118" w:rsidRPr="00247118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6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ينظر: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ص 96.</w:t>
      </w:r>
    </w:p>
  </w:endnote>
  <w:endnote w:id="7">
    <w:p w:rsidR="00247118" w:rsidRPr="00247118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7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ينظر: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</w:rPr>
        <w:t>ص97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</w:rPr>
        <w:t>.</w:t>
      </w:r>
    </w:p>
  </w:endnote>
  <w:endnote w:id="8">
    <w:p w:rsidR="00247118" w:rsidRPr="00165257" w:rsidRDefault="00247118" w:rsidP="003D148C">
      <w:pPr>
        <w:pStyle w:val="Notedefin"/>
        <w:jc w:val="both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165257">
        <w:rPr>
          <w:rStyle w:val="Appeldenotedefin"/>
          <w:rFonts w:ascii="Simplified Arabic" w:hAnsi="Simplified Arabic" w:cs="Simplified Arabic"/>
          <w:sz w:val="24"/>
          <w:szCs w:val="24"/>
          <w:rtl/>
        </w:rPr>
        <w:t>*</w:t>
      </w:r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5257">
        <w:rPr>
          <w:rFonts w:ascii="Simplified Arabic" w:hAnsi="Simplified Arabic" w:cs="Simplified Arabic"/>
          <w:b/>
          <w:bCs/>
          <w:sz w:val="24"/>
          <w:szCs w:val="24"/>
          <w:rtl/>
        </w:rPr>
        <w:t>المورفيم</w:t>
      </w:r>
      <w:proofErr w:type="spellEnd"/>
      <w:r w:rsidRPr="00165257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عند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التوزيعيين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وحدة مميزة صغرى في التحليل القواعدي له أهمية مركزية في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الصرف،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وهو مفهوم علمي بديل لمفهوم الكلمة أو الصيغة.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ينظر: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روينز،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موجز تاريخ علم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اللغة،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ترجمة د أحمد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عوض،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علم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المعرفة،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العدد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227،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المجلس الوطني للثقافة والفنون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والآداب،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الكويت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1997،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ص 8. وهو لفظ ترتيبي لدى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التوزيعيين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يشمل كل الوحدات التي تدل على معنى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نحوي،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بينما في المدرسة الأوروبية يدل على الوحدات النحوية مقابلة بالوحدات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المعجمية،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وهو ما أراده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مارتيني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من نظريته في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</w:rPr>
        <w:t>الفونولوجيا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حينما عمد على إزالة الفصل بين الصوتيات </w:t>
      </w:r>
      <w:r w:rsidRPr="00165257">
        <w:rPr>
          <w:rFonts w:ascii="Simplified Arabic" w:hAnsi="Simplified Arabic" w:cs="Simplified Arabic"/>
          <w:sz w:val="24"/>
          <w:szCs w:val="24"/>
          <w:lang w:val="fr-FR"/>
        </w:rPr>
        <w:t>la phonétique</w:t>
      </w:r>
      <w:r w:rsidRPr="00165257">
        <w:rPr>
          <w:rFonts w:ascii="Simplified Arabic" w:hAnsi="Simplified Arabic" w:cs="Simplified Arabic"/>
          <w:sz w:val="24"/>
          <w:szCs w:val="24"/>
          <w:rtl/>
        </w:rPr>
        <w:t xml:space="preserve"> والصوتيات الوظيفية </w:t>
      </w:r>
      <w:r w:rsidRPr="00165257">
        <w:rPr>
          <w:rFonts w:ascii="Simplified Arabic" w:hAnsi="Simplified Arabic" w:cs="Simplified Arabic"/>
          <w:sz w:val="24"/>
          <w:szCs w:val="24"/>
          <w:lang w:val="fr-FR"/>
        </w:rPr>
        <w:t>phonologie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الذي سَنّته مدرسة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براغ،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فقد اعتبر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مارتيني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الفونولوجيا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ضربا من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الفونيتيكونظر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للصوتيات الوظيفية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الزمانية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في نظريته في إطار المدرسة الوظيفية لأجل تفسير تطور اللغة.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والمورفيم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عنصر صرفي يربط بين الأفكار التي يتكون منها المعنى العام للجملة.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ينظر: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السعيد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شنوفة،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مدخل إلى المدارس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اللسانية،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</w:t>
      </w:r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98.</w:t>
      </w:r>
      <w:r w:rsidRPr="00165257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  <w:r w:rsidRPr="0016525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</w:endnote>
  <w:endnote w:id="9">
    <w:p w:rsidR="00247118" w:rsidRPr="00165257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8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السعيد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شنوفة</w:t>
      </w:r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مدخل إلى المدارس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اللسانية،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ص97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endnote>
  <w:endnote w:id="10">
    <w:p w:rsidR="00247118" w:rsidRPr="00165257" w:rsidRDefault="00247118" w:rsidP="00247118">
      <w:pPr>
        <w:pStyle w:val="Notedefin"/>
        <w:jc w:val="both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9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ينظر</w:t>
      </w:r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نفسه</w:t>
      </w:r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ص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87،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88.</w:t>
      </w:r>
    </w:p>
  </w:endnote>
  <w:endnote w:id="11">
    <w:p w:rsidR="00247118" w:rsidRPr="00247118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10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103.</w:t>
      </w:r>
    </w:p>
  </w:endnote>
  <w:endnote w:id="12">
    <w:p w:rsidR="00247118" w:rsidRPr="00247118" w:rsidRDefault="00247118" w:rsidP="00247118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11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ص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104،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105.</w:t>
      </w:r>
    </w:p>
  </w:endnote>
  <w:endnote w:id="13">
    <w:p w:rsidR="00247118" w:rsidRPr="00165257" w:rsidRDefault="00247118" w:rsidP="00247118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12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ينظر</w:t>
      </w:r>
      <w:r w:rsidRPr="00D30852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proofErr w:type="spellEnd"/>
      <w:r w:rsidRPr="00D3085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نفسه</w:t>
      </w:r>
      <w:r w:rsidRPr="00D30852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>105،</w:t>
      </w:r>
      <w:proofErr w:type="spellEnd"/>
      <w:r w:rsidRPr="0016525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106.</w:t>
      </w:r>
    </w:p>
  </w:endnote>
  <w:endnote w:id="14">
    <w:p w:rsidR="00247118" w:rsidRPr="00247118" w:rsidRDefault="00247118" w:rsidP="00247118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13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ص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107،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108. </w:t>
      </w:r>
    </w:p>
  </w:endnote>
  <w:endnote w:id="15">
    <w:p w:rsidR="00247118" w:rsidRPr="00247118" w:rsidRDefault="00247118" w:rsidP="003D148C">
      <w:pPr>
        <w:pStyle w:val="Notedefin"/>
        <w:rPr>
          <w:rFonts w:ascii="Simplified Arabic" w:hAnsi="Simplified Arabic" w:cs="Simplified Arabic"/>
          <w:sz w:val="24"/>
          <w:szCs w:val="24"/>
          <w:lang w:bidi="ar-DZ"/>
        </w:rPr>
      </w:pPr>
      <w:r w:rsidRPr="00247118">
        <w:rPr>
          <w:rStyle w:val="Appeldenotedefin"/>
          <w:rFonts w:ascii="Simplified Arabic" w:hAnsi="Simplified Arabic" w:cs="Simplified Arabic"/>
          <w:sz w:val="24"/>
          <w:szCs w:val="24"/>
          <w:rtl/>
        </w:rPr>
        <w:t>14</w:t>
      </w:r>
      <w:r w:rsidRPr="0024711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المرجع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نفسه،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ص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ص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>109،</w:t>
      </w:r>
      <w:proofErr w:type="spellEnd"/>
      <w:r w:rsidRPr="0024711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110.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9115175"/>
      <w:docPartObj>
        <w:docPartGallery w:val="Page Numbers (Bottom of Page)"/>
        <w:docPartUnique/>
      </w:docPartObj>
    </w:sdtPr>
    <w:sdtContent>
      <w:p w:rsidR="003D148C" w:rsidRDefault="00A12AB5">
        <w:pPr>
          <w:pStyle w:val="Pieddepage"/>
          <w:jc w:val="center"/>
        </w:pPr>
        <w:fldSimple w:instr=" PAGE   \* MERGEFORMAT ">
          <w:r w:rsidR="002B041C">
            <w:rPr>
              <w:noProof/>
              <w:rtl/>
            </w:rPr>
            <w:t>8</w:t>
          </w:r>
        </w:fldSimple>
      </w:p>
    </w:sdtContent>
  </w:sdt>
  <w:p w:rsidR="003D148C" w:rsidRDefault="003D14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84" w:rsidRDefault="00EC7784" w:rsidP="003D148C">
      <w:pPr>
        <w:spacing w:after="0" w:line="240" w:lineRule="auto"/>
      </w:pPr>
      <w:r>
        <w:separator/>
      </w:r>
    </w:p>
  </w:footnote>
  <w:footnote w:type="continuationSeparator" w:id="0">
    <w:p w:rsidR="00EC7784" w:rsidRDefault="00EC7784" w:rsidP="003D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87"/>
    <w:multiLevelType w:val="multilevel"/>
    <w:tmpl w:val="9BBAD4BE"/>
    <w:lvl w:ilvl="0">
      <w:start w:val="1"/>
      <w:numFmt w:val="decimal"/>
      <w:lvlText w:val="(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040" w:hanging="2520"/>
      </w:pPr>
      <w:rPr>
        <w:rFonts w:hint="default"/>
      </w:rPr>
    </w:lvl>
  </w:abstractNum>
  <w:abstractNum w:abstractNumId="1">
    <w:nsid w:val="04A02D94"/>
    <w:multiLevelType w:val="multilevel"/>
    <w:tmpl w:val="8A926688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2105CE"/>
    <w:multiLevelType w:val="hybridMultilevel"/>
    <w:tmpl w:val="4566DE84"/>
    <w:lvl w:ilvl="0" w:tplc="2D28A450">
      <w:start w:val="1"/>
      <w:numFmt w:val="arabicAlpha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84CFF"/>
    <w:multiLevelType w:val="hybridMultilevel"/>
    <w:tmpl w:val="F0F8D9E8"/>
    <w:lvl w:ilvl="0" w:tplc="A2D679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94C65"/>
    <w:multiLevelType w:val="hybridMultilevel"/>
    <w:tmpl w:val="35846F54"/>
    <w:lvl w:ilvl="0" w:tplc="DAEA0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64578"/>
    <w:multiLevelType w:val="hybridMultilevel"/>
    <w:tmpl w:val="7FB23B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A23F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6F34726"/>
    <w:multiLevelType w:val="hybridMultilevel"/>
    <w:tmpl w:val="29B42996"/>
    <w:lvl w:ilvl="0" w:tplc="9ACC12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307D"/>
    <w:multiLevelType w:val="hybridMultilevel"/>
    <w:tmpl w:val="4A1C6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48C"/>
    <w:rsid w:val="000E33DB"/>
    <w:rsid w:val="00207B76"/>
    <w:rsid w:val="0021121B"/>
    <w:rsid w:val="00247118"/>
    <w:rsid w:val="002B041C"/>
    <w:rsid w:val="003D148C"/>
    <w:rsid w:val="0046469D"/>
    <w:rsid w:val="00584A12"/>
    <w:rsid w:val="00997E4E"/>
    <w:rsid w:val="009B6531"/>
    <w:rsid w:val="00A12AB5"/>
    <w:rsid w:val="00E0366D"/>
    <w:rsid w:val="00E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42"/>
        <o:r id="V:Rule17" type="connector" idref="#_x0000_s1030"/>
        <o:r id="V:Rule18" type="connector" idref="#_x0000_s1031"/>
        <o:r id="V:Rule19" type="connector" idref="#_x0000_s1033"/>
        <o:r id="V:Rule20" type="connector" idref="#_x0000_s1040"/>
        <o:r id="V:Rule21" type="connector" idref="#_x0000_s1029"/>
        <o:r id="V:Rule22" type="connector" idref="#_x0000_s1041"/>
        <o:r id="V:Rule23" type="connector" idref="#_x0000_s1037"/>
        <o:r id="V:Rule24" type="connector" idref="#_x0000_s1038"/>
        <o:r id="V:Rule25" type="connector" idref="#_x0000_s1032"/>
        <o:r id="V:Rule26" type="connector" idref="#_x0000_s1039"/>
        <o:r id="V:Rule27" type="connector" idref="#_x0000_s1026"/>
        <o:r id="V:Rule28" type="connector" idref="#_x0000_s1036"/>
        <o:r id="V:Rule29" type="connector" idref="#_x0000_s1027"/>
        <o:r id="V:Rule3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8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48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14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148C"/>
    <w:rPr>
      <w:vertAlign w:val="superscript"/>
    </w:rPr>
  </w:style>
  <w:style w:type="table" w:styleId="Grilledutableau">
    <w:name w:val="Table Grid"/>
    <w:basedOn w:val="TableauNormal"/>
    <w:uiPriority w:val="59"/>
    <w:rsid w:val="003D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D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148C"/>
  </w:style>
  <w:style w:type="paragraph" w:styleId="Pieddepage">
    <w:name w:val="footer"/>
    <w:basedOn w:val="Normal"/>
    <w:link w:val="PieddepageCar"/>
    <w:uiPriority w:val="99"/>
    <w:unhideWhenUsed/>
    <w:rsid w:val="003D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48C"/>
  </w:style>
  <w:style w:type="paragraph" w:styleId="Notedefin">
    <w:name w:val="endnote text"/>
    <w:basedOn w:val="Normal"/>
    <w:link w:val="NotedefinCar"/>
    <w:uiPriority w:val="99"/>
    <w:semiHidden/>
    <w:unhideWhenUsed/>
    <w:rsid w:val="0024711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711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71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E9E165-4DDF-40AB-BB39-B8E1B20F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2022-10-13T17:25:00Z</dcterms:created>
  <dcterms:modified xsi:type="dcterms:W3CDTF">2022-10-16T16:10:00Z</dcterms:modified>
</cp:coreProperties>
</file>