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251" w:rsidRDefault="00DF20B5" w:rsidP="00C40251">
      <w:pPr>
        <w:tabs>
          <w:tab w:val="right" w:pos="8306"/>
        </w:tabs>
        <w:bidi/>
        <w:rPr>
          <w:rFonts w:ascii="Simplified Arabic" w:hAnsi="Simplified Arabic" w:cs="Simplified Arabic"/>
          <w:sz w:val="28"/>
          <w:szCs w:val="28"/>
        </w:rPr>
      </w:pPr>
      <w:r>
        <w:rPr>
          <w:rFonts w:ascii="Simplified Arabic" w:hAnsi="Simplified Arabic" w:cs="Simplified Arabic"/>
          <w:noProof/>
          <w:sz w:val="28"/>
          <w:szCs w:val="28"/>
        </w:rPr>
        <w:pict>
          <v:roundrect id="_x0000_s1027" style="position:absolute;left:0;text-align:left;margin-left:-36.15pt;margin-top:-26.9pt;width:212.2pt;height:126.45pt;z-index:251659264" arcsize="10923f" strokecolor="#943634 [2405]" strokeweight="1pt">
            <v:textbox style="mso-next-textbox:#_x0000_s1027">
              <w:txbxContent>
                <w:p w:rsidR="00C40251" w:rsidRDefault="00C40251" w:rsidP="00C40251">
                  <w:pPr>
                    <w:bidi/>
                    <w:spacing w:before="240" w:after="0"/>
                    <w:rPr>
                      <w:rFonts w:ascii="Microsoft Uighur" w:hAnsi="Microsoft Uighur" w:cs="Microsoft Uighur"/>
                      <w:sz w:val="32"/>
                      <w:szCs w:val="32"/>
                      <w:rtl/>
                      <w:lang w:bidi="ar-DZ"/>
                    </w:rPr>
                  </w:pPr>
                  <w:r w:rsidRPr="00E76B29">
                    <w:rPr>
                      <w:rFonts w:ascii="Microsoft Uighur" w:hAnsi="Microsoft Uighur" w:cs="Microsoft Uighur" w:hint="cs"/>
                      <w:b/>
                      <w:bCs/>
                      <w:sz w:val="32"/>
                      <w:szCs w:val="32"/>
                      <w:rtl/>
                      <w:lang w:bidi="ar-DZ"/>
                    </w:rPr>
                    <w:t>المادة</w:t>
                  </w:r>
                  <w:r>
                    <w:rPr>
                      <w:rFonts w:ascii="Microsoft Uighur" w:hAnsi="Microsoft Uighur" w:cs="Microsoft Uighur" w:hint="cs"/>
                      <w:sz w:val="32"/>
                      <w:szCs w:val="32"/>
                      <w:rtl/>
                      <w:lang w:bidi="ar-DZ"/>
                    </w:rPr>
                    <w:t>: نقد أدبي معاصر.</w:t>
                  </w:r>
                </w:p>
                <w:p w:rsidR="00C40251" w:rsidRPr="00863097" w:rsidRDefault="00C40251" w:rsidP="00C40251">
                  <w:pPr>
                    <w:bidi/>
                    <w:spacing w:after="0"/>
                    <w:rPr>
                      <w:rFonts w:ascii="Microsoft Uighur" w:hAnsi="Microsoft Uighur" w:cs="Microsoft Uighur"/>
                      <w:sz w:val="32"/>
                      <w:szCs w:val="32"/>
                      <w:lang w:bidi="ar-DZ"/>
                    </w:rPr>
                  </w:pPr>
                  <w:r w:rsidRPr="00E76B29">
                    <w:rPr>
                      <w:rFonts w:ascii="Microsoft Uighur" w:hAnsi="Microsoft Uighur" w:cs="Microsoft Uighur" w:hint="cs"/>
                      <w:b/>
                      <w:bCs/>
                      <w:sz w:val="32"/>
                      <w:szCs w:val="32"/>
                      <w:rtl/>
                      <w:lang w:bidi="ar-DZ"/>
                    </w:rPr>
                    <w:t>السنة</w:t>
                  </w:r>
                  <w:r>
                    <w:rPr>
                      <w:rFonts w:ascii="Microsoft Uighur" w:hAnsi="Microsoft Uighur" w:cs="Microsoft Uighur" w:hint="cs"/>
                      <w:sz w:val="32"/>
                      <w:szCs w:val="32"/>
                      <w:rtl/>
                      <w:lang w:bidi="ar-DZ"/>
                    </w:rPr>
                    <w:t>: الثانية ليسانس.</w:t>
                  </w:r>
                </w:p>
              </w:txbxContent>
            </v:textbox>
          </v:roundrect>
        </w:pict>
      </w:r>
      <w:r>
        <w:rPr>
          <w:rFonts w:ascii="Simplified Arabic" w:hAnsi="Simplified Arabic" w:cs="Simplified Arabic"/>
          <w:noProof/>
          <w:sz w:val="28"/>
          <w:szCs w:val="28"/>
        </w:rPr>
        <w:pict>
          <v:roundrect id="_x0000_s1026" style="position:absolute;left:0;text-align:left;margin-left:254.95pt;margin-top:-26.9pt;width:210.3pt;height:126.45pt;z-index:251658240" arcsize="10923f" strokecolor="#943634 [2405]" strokeweight="1pt">
            <v:textbox>
              <w:txbxContent>
                <w:p w:rsidR="00C40251" w:rsidRPr="0062535B" w:rsidRDefault="00C40251" w:rsidP="00C40251">
                  <w:pPr>
                    <w:bidi/>
                    <w:spacing w:before="240" w:after="0"/>
                    <w:rPr>
                      <w:rFonts w:ascii="Microsoft Uighur" w:hAnsi="Microsoft Uighur" w:cs="Microsoft Uighur"/>
                      <w:sz w:val="32"/>
                      <w:szCs w:val="32"/>
                      <w:rtl/>
                      <w:lang w:bidi="ar-DZ"/>
                    </w:rPr>
                  </w:pPr>
                  <w:r w:rsidRPr="0062535B">
                    <w:rPr>
                      <w:rFonts w:ascii="Microsoft Uighur" w:hAnsi="Microsoft Uighur" w:cs="Microsoft Uighur" w:hint="cs"/>
                      <w:b/>
                      <w:bCs/>
                      <w:sz w:val="32"/>
                      <w:szCs w:val="32"/>
                      <w:rtl/>
                      <w:lang w:bidi="ar-DZ"/>
                    </w:rPr>
                    <w:t>الأستاذة</w:t>
                  </w:r>
                  <w:r w:rsidRPr="0062535B">
                    <w:rPr>
                      <w:rFonts w:ascii="Microsoft Uighur" w:hAnsi="Microsoft Uighur" w:cs="Microsoft Uighur"/>
                      <w:sz w:val="32"/>
                      <w:szCs w:val="32"/>
                      <w:rtl/>
                      <w:lang w:bidi="ar-DZ"/>
                    </w:rPr>
                    <w:t>: د. هجيرة طاهري.</w:t>
                  </w:r>
                </w:p>
                <w:p w:rsidR="00C40251" w:rsidRPr="0062535B" w:rsidRDefault="00C40251" w:rsidP="00C40251">
                  <w:pPr>
                    <w:bidi/>
                    <w:spacing w:after="0"/>
                    <w:rPr>
                      <w:rFonts w:ascii="Microsoft Uighur" w:hAnsi="Microsoft Uighur" w:cs="Microsoft Uighur"/>
                      <w:sz w:val="32"/>
                      <w:szCs w:val="32"/>
                      <w:lang w:bidi="ar-DZ"/>
                    </w:rPr>
                  </w:pPr>
                  <w:r w:rsidRPr="0062535B">
                    <w:rPr>
                      <w:rFonts w:ascii="Microsoft Uighur" w:hAnsi="Microsoft Uighur" w:cs="Microsoft Uighur"/>
                      <w:b/>
                      <w:bCs/>
                      <w:sz w:val="32"/>
                      <w:szCs w:val="32"/>
                      <w:rtl/>
                      <w:lang w:bidi="ar-DZ"/>
                    </w:rPr>
                    <w:t>البريد الإكتروني</w:t>
                  </w:r>
                  <w:r w:rsidRPr="0062535B">
                    <w:rPr>
                      <w:rFonts w:ascii="Microsoft Uighur" w:hAnsi="Microsoft Uighur" w:cs="Microsoft Uighur"/>
                      <w:sz w:val="32"/>
                      <w:szCs w:val="32"/>
                      <w:rtl/>
                      <w:lang w:bidi="ar-DZ"/>
                    </w:rPr>
                    <w:t xml:space="preserve">: </w:t>
                  </w:r>
                  <w:r w:rsidRPr="0062535B">
                    <w:rPr>
                      <w:rFonts w:ascii="Microsoft Uighur" w:hAnsi="Microsoft Uighur" w:cs="Microsoft Uighur"/>
                      <w:sz w:val="32"/>
                      <w:szCs w:val="32"/>
                      <w:lang w:bidi="ar-DZ"/>
                    </w:rPr>
                    <w:t>hadjira.tahri@gmail.com</w:t>
                  </w:r>
                </w:p>
                <w:p w:rsidR="00C40251" w:rsidRPr="0062535B" w:rsidRDefault="00C40251" w:rsidP="00C40251">
                  <w:pPr>
                    <w:bidi/>
                    <w:spacing w:after="0"/>
                    <w:rPr>
                      <w:rFonts w:ascii="Microsoft Uighur" w:eastAsia="Arial Unicode MS" w:hAnsi="Microsoft Uighur" w:cs="Microsoft Uighur"/>
                      <w:sz w:val="32"/>
                      <w:szCs w:val="32"/>
                      <w:rtl/>
                      <w:lang w:bidi="ar-DZ"/>
                    </w:rPr>
                  </w:pPr>
                  <w:r w:rsidRPr="0062535B">
                    <w:rPr>
                      <w:rFonts w:ascii="Microsoft Uighur" w:eastAsia="Arial Unicode MS" w:hAnsi="Microsoft Uighur" w:cs="Microsoft Uighur" w:hint="cs"/>
                      <w:sz w:val="32"/>
                      <w:szCs w:val="32"/>
                      <w:rtl/>
                      <w:lang w:bidi="ar-DZ"/>
                    </w:rPr>
                    <w:t>كلية الآداب واللغات.</w:t>
                  </w:r>
                </w:p>
                <w:p w:rsidR="00C40251" w:rsidRPr="0062535B" w:rsidRDefault="00C40251" w:rsidP="00C40251">
                  <w:pPr>
                    <w:bidi/>
                    <w:spacing w:after="0"/>
                    <w:rPr>
                      <w:rFonts w:ascii="Microsoft Uighur" w:eastAsia="Arial Unicode MS" w:hAnsi="Microsoft Uighur" w:cs="Microsoft Uighur"/>
                      <w:sz w:val="32"/>
                      <w:szCs w:val="32"/>
                      <w:lang w:bidi="ar-DZ"/>
                    </w:rPr>
                  </w:pPr>
                  <w:r w:rsidRPr="0062535B">
                    <w:rPr>
                      <w:rFonts w:ascii="Microsoft Uighur" w:eastAsia="Arial Unicode MS" w:hAnsi="Microsoft Uighur" w:cs="Microsoft Uighur" w:hint="cs"/>
                      <w:sz w:val="32"/>
                      <w:szCs w:val="32"/>
                      <w:rtl/>
                      <w:lang w:bidi="ar-DZ"/>
                    </w:rPr>
                    <w:t>قسم اللغة والأدب العربي- جامعة محمد لمين دباغين، سطيف2.</w:t>
                  </w:r>
                </w:p>
                <w:p w:rsidR="00C40251" w:rsidRPr="00370B08" w:rsidRDefault="00C40251" w:rsidP="00C40251">
                  <w:pPr>
                    <w:bidi/>
                    <w:spacing w:after="0"/>
                    <w:rPr>
                      <w:rFonts w:ascii="Microsoft Uighur" w:eastAsia="Arial Unicode MS" w:hAnsi="Microsoft Uighur" w:cs="Microsoft Uighur"/>
                      <w:sz w:val="32"/>
                      <w:szCs w:val="32"/>
                      <w:lang w:bidi="ar-DZ"/>
                    </w:rPr>
                  </w:pPr>
                </w:p>
              </w:txbxContent>
            </v:textbox>
          </v:roundrect>
        </w:pict>
      </w:r>
      <w:r w:rsidR="00C40251">
        <w:rPr>
          <w:rFonts w:ascii="Simplified Arabic" w:hAnsi="Simplified Arabic" w:cs="Simplified Arabic"/>
          <w:sz w:val="28"/>
          <w:szCs w:val="28"/>
          <w:rtl/>
        </w:rPr>
        <w:tab/>
      </w:r>
    </w:p>
    <w:p w:rsidR="00C40251" w:rsidRPr="00C40251" w:rsidRDefault="00C40251" w:rsidP="00C40251">
      <w:pPr>
        <w:bidi/>
        <w:rPr>
          <w:rFonts w:ascii="Simplified Arabic" w:hAnsi="Simplified Arabic" w:cs="Simplified Arabic"/>
          <w:sz w:val="28"/>
          <w:szCs w:val="28"/>
        </w:rPr>
      </w:pPr>
    </w:p>
    <w:p w:rsidR="00C40251" w:rsidRDefault="00C40251" w:rsidP="00C40251">
      <w:pPr>
        <w:bidi/>
        <w:rPr>
          <w:rFonts w:ascii="Simplified Arabic" w:hAnsi="Simplified Arabic" w:cs="Simplified Arabic"/>
          <w:sz w:val="28"/>
          <w:szCs w:val="28"/>
        </w:rPr>
      </w:pPr>
    </w:p>
    <w:p w:rsidR="00C40251" w:rsidRPr="009E68CE" w:rsidRDefault="00DA2FDC" w:rsidP="00DA2FDC">
      <w:pPr>
        <w:bidi/>
        <w:spacing w:after="0"/>
        <w:rPr>
          <w:rFonts w:ascii="Microsoft Uighur" w:hAnsi="Microsoft Uighur" w:cs="Microsoft Uighur"/>
          <w:b/>
          <w:bCs/>
          <w:color w:val="943634" w:themeColor="accent2" w:themeShade="BF"/>
          <w:sz w:val="36"/>
          <w:szCs w:val="36"/>
          <w:u w:val="single"/>
          <w:rtl/>
          <w:lang w:bidi="ar-DZ"/>
        </w:rPr>
      </w:pPr>
      <w:r w:rsidRPr="009E68CE">
        <w:rPr>
          <w:rFonts w:ascii="Microsoft Uighur" w:hAnsi="Microsoft Uighur" w:cs="Microsoft Uighur"/>
          <w:b/>
          <w:bCs/>
          <w:color w:val="943634" w:themeColor="accent2" w:themeShade="BF"/>
          <w:sz w:val="36"/>
          <w:szCs w:val="36"/>
          <w:u w:val="single"/>
          <w:rtl/>
          <w:lang w:bidi="ar-DZ"/>
        </w:rPr>
        <w:t>المحاضرة رقم: 04</w:t>
      </w:r>
    </w:p>
    <w:p w:rsidR="000A5F63" w:rsidRPr="009E68CE" w:rsidRDefault="000A5F63" w:rsidP="000A5F63">
      <w:pPr>
        <w:bidi/>
        <w:spacing w:after="0"/>
        <w:jc w:val="center"/>
        <w:rPr>
          <w:rFonts w:ascii="Microsoft Uighur" w:hAnsi="Microsoft Uighur" w:cs="Microsoft Uighur"/>
          <w:b/>
          <w:bCs/>
          <w:color w:val="943634" w:themeColor="accent2" w:themeShade="BF"/>
          <w:sz w:val="36"/>
          <w:szCs w:val="36"/>
          <w:u w:val="single"/>
          <w:rtl/>
          <w:lang w:bidi="ar-DZ"/>
        </w:rPr>
      </w:pPr>
      <w:r w:rsidRPr="009E68CE">
        <w:rPr>
          <w:rFonts w:ascii="Microsoft Uighur" w:hAnsi="Microsoft Uighur" w:cs="Microsoft Uighur"/>
          <w:b/>
          <w:bCs/>
          <w:color w:val="943634" w:themeColor="accent2" w:themeShade="BF"/>
          <w:sz w:val="36"/>
          <w:szCs w:val="36"/>
          <w:u w:val="single"/>
          <w:rtl/>
          <w:lang w:bidi="ar-DZ"/>
        </w:rPr>
        <w:t>عنوان المحاضرة:</w:t>
      </w:r>
    </w:p>
    <w:p w:rsidR="007D4C2E" w:rsidRPr="009E68CE" w:rsidRDefault="000A5F63" w:rsidP="006A2F7D">
      <w:pPr>
        <w:bidi/>
        <w:ind w:right="-284"/>
        <w:jc w:val="center"/>
        <w:rPr>
          <w:rFonts w:ascii="Microsoft Uighur" w:hAnsi="Microsoft Uighur" w:cs="Microsoft Uighur"/>
          <w:b/>
          <w:bCs/>
          <w:sz w:val="32"/>
          <w:szCs w:val="32"/>
          <w:rtl/>
          <w:lang w:bidi="ar-DZ"/>
        </w:rPr>
      </w:pPr>
      <w:r w:rsidRPr="009E68CE">
        <w:rPr>
          <w:rFonts w:ascii="Microsoft Uighur" w:hAnsi="Microsoft Uighur" w:cs="Microsoft Uighur"/>
          <w:b/>
          <w:bCs/>
          <w:sz w:val="32"/>
          <w:szCs w:val="32"/>
          <w:rtl/>
          <w:lang w:bidi="ar-DZ"/>
        </w:rPr>
        <w:t xml:space="preserve">النقد </w:t>
      </w:r>
      <w:r w:rsidR="006A2F7D" w:rsidRPr="009E68CE">
        <w:rPr>
          <w:rFonts w:ascii="Microsoft Uighur" w:hAnsi="Microsoft Uighur" w:cs="Microsoft Uighur"/>
          <w:b/>
          <w:bCs/>
          <w:sz w:val="32"/>
          <w:szCs w:val="32"/>
          <w:rtl/>
          <w:lang w:bidi="ar-DZ"/>
        </w:rPr>
        <w:t>السيميائي</w:t>
      </w:r>
    </w:p>
    <w:p w:rsidR="006A2F7D" w:rsidRPr="00C26436" w:rsidRDefault="006A2F7D" w:rsidP="006A2F7D">
      <w:pPr>
        <w:tabs>
          <w:tab w:val="left" w:pos="632"/>
        </w:tabs>
        <w:bidi/>
        <w:ind w:right="-284"/>
        <w:rPr>
          <w:rFonts w:ascii="Microsoft Uighur" w:hAnsi="Microsoft Uighur" w:cs="Microsoft Uighur"/>
          <w:b/>
          <w:bCs/>
          <w:color w:val="000000" w:themeColor="text1"/>
          <w:sz w:val="36"/>
          <w:szCs w:val="36"/>
          <w:u w:val="single"/>
          <w:rtl/>
          <w:lang w:bidi="ar-DZ"/>
        </w:rPr>
      </w:pPr>
      <w:r w:rsidRPr="00C26436">
        <w:rPr>
          <w:rFonts w:ascii="Microsoft Uighur" w:hAnsi="Microsoft Uighur" w:cs="Microsoft Uighur"/>
          <w:b/>
          <w:bCs/>
          <w:color w:val="000000" w:themeColor="text1"/>
          <w:sz w:val="32"/>
          <w:szCs w:val="32"/>
          <w:rtl/>
          <w:lang w:bidi="ar-DZ"/>
        </w:rPr>
        <w:tab/>
      </w:r>
      <w:r w:rsidR="0061609E" w:rsidRPr="00C26436">
        <w:rPr>
          <w:rFonts w:ascii="Microsoft Uighur" w:hAnsi="Microsoft Uighur" w:cs="Microsoft Uighur"/>
          <w:b/>
          <w:bCs/>
          <w:color w:val="000000" w:themeColor="text1"/>
          <w:sz w:val="36"/>
          <w:szCs w:val="36"/>
          <w:u w:val="single"/>
          <w:rtl/>
          <w:lang w:bidi="ar-DZ"/>
        </w:rPr>
        <w:t>ماهية السيميائية:</w:t>
      </w:r>
    </w:p>
    <w:p w:rsidR="00E56618" w:rsidRPr="00CD35AF" w:rsidRDefault="0061609E" w:rsidP="00BC74FC">
      <w:pPr>
        <w:tabs>
          <w:tab w:val="left" w:pos="632"/>
        </w:tabs>
        <w:bidi/>
        <w:ind w:right="-284"/>
        <w:rPr>
          <w:rFonts w:ascii="Simplified Arabic" w:hAnsi="Simplified Arabic" w:cs="Simplified Arabic"/>
          <w:color w:val="000000" w:themeColor="text1"/>
          <w:sz w:val="28"/>
          <w:szCs w:val="28"/>
          <w:rtl/>
          <w:lang w:bidi="ar-DZ"/>
        </w:rPr>
      </w:pPr>
      <w:r w:rsidRPr="00CD35AF">
        <w:rPr>
          <w:rFonts w:ascii="Simplified Arabic" w:hAnsi="Simplified Arabic" w:cs="Simplified Arabic"/>
          <w:color w:val="000000" w:themeColor="text1"/>
          <w:sz w:val="28"/>
          <w:szCs w:val="28"/>
          <w:rtl/>
          <w:lang w:bidi="ar-DZ"/>
        </w:rPr>
        <w:t xml:space="preserve">   يعود المفهوم إلى الأصل الإغريقي «</w:t>
      </w:r>
      <w:r w:rsidRPr="00CD35AF">
        <w:rPr>
          <w:rFonts w:ascii="Simplified Arabic" w:hAnsi="Simplified Arabic" w:cs="Simplified Arabic"/>
          <w:color w:val="000000" w:themeColor="text1"/>
          <w:sz w:val="28"/>
          <w:szCs w:val="28"/>
          <w:lang w:bidi="ar-DZ"/>
        </w:rPr>
        <w:t>sémeion</w:t>
      </w:r>
      <w:r w:rsidRPr="00CD35AF">
        <w:rPr>
          <w:rFonts w:ascii="Simplified Arabic" w:hAnsi="Simplified Arabic" w:cs="Simplified Arabic"/>
          <w:color w:val="000000" w:themeColor="text1"/>
          <w:sz w:val="28"/>
          <w:szCs w:val="28"/>
          <w:rtl/>
          <w:lang w:bidi="ar-DZ"/>
        </w:rPr>
        <w:t xml:space="preserve"> الذي يحيل على "سمة مميزة (</w:t>
      </w:r>
      <w:r w:rsidRPr="00CD35AF">
        <w:rPr>
          <w:rFonts w:ascii="Simplified Arabic" w:hAnsi="Simplified Arabic" w:cs="Simplified Arabic"/>
          <w:color w:val="000000" w:themeColor="text1"/>
          <w:sz w:val="28"/>
          <w:szCs w:val="28"/>
          <w:lang w:bidi="ar-DZ"/>
        </w:rPr>
        <w:t>Morque distinotive</w:t>
      </w:r>
      <w:r w:rsidRPr="00CD35AF">
        <w:rPr>
          <w:rFonts w:ascii="Simplified Arabic" w:hAnsi="Simplified Arabic" w:cs="Simplified Arabic"/>
          <w:color w:val="000000" w:themeColor="text1"/>
          <w:sz w:val="28"/>
          <w:szCs w:val="28"/>
          <w:rtl/>
          <w:lang w:bidi="ar-DZ"/>
        </w:rPr>
        <w:t>)، أثر (</w:t>
      </w:r>
      <w:r w:rsidRPr="00CD35AF">
        <w:rPr>
          <w:rFonts w:ascii="Simplified Arabic" w:hAnsi="Simplified Arabic" w:cs="Simplified Arabic"/>
          <w:color w:val="000000" w:themeColor="text1"/>
          <w:sz w:val="28"/>
          <w:szCs w:val="28"/>
          <w:lang w:bidi="ar-DZ"/>
        </w:rPr>
        <w:t>Trace</w:t>
      </w:r>
      <w:r w:rsidRPr="00CD35AF">
        <w:rPr>
          <w:rFonts w:ascii="Simplified Arabic" w:hAnsi="Simplified Arabic" w:cs="Simplified Arabic"/>
          <w:color w:val="000000" w:themeColor="text1"/>
          <w:sz w:val="28"/>
          <w:szCs w:val="28"/>
          <w:rtl/>
          <w:lang w:bidi="ar-DZ"/>
        </w:rPr>
        <w:t>)، قرينة (</w:t>
      </w:r>
      <w:r w:rsidRPr="00CD35AF">
        <w:rPr>
          <w:rFonts w:ascii="Simplified Arabic" w:hAnsi="Simplified Arabic" w:cs="Simplified Arabic"/>
          <w:color w:val="000000" w:themeColor="text1"/>
          <w:sz w:val="28"/>
          <w:szCs w:val="28"/>
          <w:lang w:bidi="ar-DZ"/>
        </w:rPr>
        <w:t>Indice</w:t>
      </w:r>
      <w:r w:rsidRPr="00CD35AF">
        <w:rPr>
          <w:rFonts w:ascii="Simplified Arabic" w:hAnsi="Simplified Arabic" w:cs="Simplified Arabic"/>
          <w:color w:val="000000" w:themeColor="text1"/>
          <w:sz w:val="28"/>
          <w:szCs w:val="28"/>
          <w:rtl/>
          <w:lang w:bidi="ar-DZ"/>
        </w:rPr>
        <w:t xml:space="preserve">)، علامة منذرة </w:t>
      </w:r>
      <w:r w:rsidRPr="00CD35AF">
        <w:rPr>
          <w:rFonts w:ascii="Simplified Arabic" w:hAnsi="Simplified Arabic" w:cs="Simplified Arabic"/>
          <w:color w:val="000000" w:themeColor="text1"/>
          <w:sz w:val="28"/>
          <w:szCs w:val="28"/>
          <w:lang w:bidi="ar-DZ"/>
        </w:rPr>
        <w:t>(Signe/ Précirseur)</w:t>
      </w:r>
      <w:r w:rsidRPr="00CD35AF">
        <w:rPr>
          <w:rFonts w:ascii="Simplified Arabic" w:hAnsi="Simplified Arabic" w:cs="Simplified Arabic"/>
          <w:color w:val="000000" w:themeColor="text1"/>
          <w:sz w:val="28"/>
          <w:szCs w:val="28"/>
          <w:rtl/>
          <w:lang w:bidi="ar-DZ"/>
        </w:rPr>
        <w:t xml:space="preserve"> دليل (</w:t>
      </w:r>
      <w:r w:rsidRPr="00CD35AF">
        <w:rPr>
          <w:rFonts w:ascii="Simplified Arabic" w:hAnsi="Simplified Arabic" w:cs="Simplified Arabic"/>
          <w:color w:val="000000" w:themeColor="text1"/>
          <w:sz w:val="28"/>
          <w:szCs w:val="28"/>
          <w:lang w:bidi="ar-DZ"/>
        </w:rPr>
        <w:t>Preuve</w:t>
      </w:r>
      <w:r w:rsidRPr="00CD35AF">
        <w:rPr>
          <w:rFonts w:ascii="Simplified Arabic" w:hAnsi="Simplified Arabic" w:cs="Simplified Arabic"/>
          <w:color w:val="000000" w:themeColor="text1"/>
          <w:sz w:val="28"/>
          <w:szCs w:val="28"/>
          <w:rtl/>
          <w:lang w:bidi="ar-DZ"/>
        </w:rPr>
        <w:t>)، علامة منقوشة أو مكتوبة (</w:t>
      </w:r>
      <w:r w:rsidR="00E56618" w:rsidRPr="00CD35AF">
        <w:rPr>
          <w:rFonts w:ascii="Simplified Arabic" w:hAnsi="Simplified Arabic" w:cs="Simplified Arabic"/>
          <w:color w:val="000000" w:themeColor="text1"/>
          <w:sz w:val="28"/>
          <w:szCs w:val="28"/>
          <w:lang w:bidi="ar-DZ"/>
        </w:rPr>
        <w:t>Signe gravé au écrit</w:t>
      </w:r>
      <w:r w:rsidR="00E56618" w:rsidRPr="00CD35AF">
        <w:rPr>
          <w:rFonts w:ascii="Simplified Arabic" w:hAnsi="Simplified Arabic" w:cs="Simplified Arabic"/>
          <w:color w:val="000000" w:themeColor="text1"/>
          <w:sz w:val="28"/>
          <w:szCs w:val="28"/>
          <w:rtl/>
          <w:lang w:bidi="ar-DZ"/>
        </w:rPr>
        <w:t xml:space="preserve">)، بصمة </w:t>
      </w:r>
      <w:r w:rsidR="00E56618" w:rsidRPr="00CD35AF">
        <w:rPr>
          <w:rFonts w:ascii="Simplified Arabic" w:hAnsi="Simplified Arabic" w:cs="Simplified Arabic"/>
          <w:color w:val="000000" w:themeColor="text1"/>
          <w:sz w:val="28"/>
          <w:szCs w:val="28"/>
          <w:lang w:bidi="ar-DZ"/>
        </w:rPr>
        <w:t>(Empreinte)</w:t>
      </w:r>
      <w:r w:rsidR="00E56618" w:rsidRPr="00CD35AF">
        <w:rPr>
          <w:rFonts w:ascii="Simplified Arabic" w:hAnsi="Simplified Arabic" w:cs="Simplified Arabic"/>
          <w:color w:val="000000" w:themeColor="text1"/>
          <w:sz w:val="28"/>
          <w:szCs w:val="28"/>
          <w:rtl/>
          <w:lang w:bidi="ar-DZ"/>
        </w:rPr>
        <w:t>، تمثيل تشكيلي (</w:t>
      </w:r>
      <w:r w:rsidR="00E56618" w:rsidRPr="00CD35AF">
        <w:rPr>
          <w:rFonts w:ascii="Simplified Arabic" w:hAnsi="Simplified Arabic" w:cs="Simplified Arabic"/>
          <w:color w:val="000000" w:themeColor="text1"/>
          <w:sz w:val="28"/>
          <w:szCs w:val="28"/>
          <w:lang w:bidi="ar-DZ"/>
        </w:rPr>
        <w:t>Figurotion</w:t>
      </w:r>
      <w:r w:rsidR="00E56618" w:rsidRPr="00CD35AF">
        <w:rPr>
          <w:rFonts w:ascii="Simplified Arabic" w:hAnsi="Simplified Arabic" w:cs="Simplified Arabic"/>
          <w:color w:val="000000" w:themeColor="text1"/>
          <w:sz w:val="28"/>
          <w:szCs w:val="28"/>
          <w:rtl/>
          <w:lang w:bidi="ar-DZ"/>
        </w:rPr>
        <w:t>)»</w:t>
      </w:r>
      <w:r w:rsidR="00792250">
        <w:rPr>
          <w:rStyle w:val="Appelnotedebasdep"/>
          <w:rFonts w:ascii="Simplified Arabic" w:hAnsi="Simplified Arabic" w:cs="Simplified Arabic"/>
          <w:color w:val="000000" w:themeColor="text1"/>
          <w:sz w:val="28"/>
          <w:szCs w:val="28"/>
          <w:rtl/>
          <w:lang w:bidi="ar-DZ"/>
        </w:rPr>
        <w:footnoteReference w:id="2"/>
      </w:r>
      <w:r w:rsidR="00E56618" w:rsidRPr="00CD35AF">
        <w:rPr>
          <w:rFonts w:ascii="Simplified Arabic" w:hAnsi="Simplified Arabic" w:cs="Simplified Arabic"/>
          <w:color w:val="000000" w:themeColor="text1"/>
          <w:sz w:val="28"/>
          <w:szCs w:val="28"/>
          <w:rtl/>
          <w:lang w:bidi="ar-DZ"/>
        </w:rPr>
        <w:t xml:space="preserve"> ما يهمنا من تعدد المصطلحات هو "السيميائية"، وقد سميت كذلك بالسيميولوجيا وأول من استخدم هذا المصطلح هو «"ج. لوك" غير أن الدراسة السيميولوجية في عصره لم تتجاوز إطار النظرية العامة للغة، وفلسفتها النظرية»</w:t>
      </w:r>
      <w:r w:rsidR="00BC74FC">
        <w:rPr>
          <w:rStyle w:val="Appelnotedebasdep"/>
          <w:rFonts w:ascii="Simplified Arabic" w:hAnsi="Simplified Arabic" w:cs="Simplified Arabic"/>
          <w:color w:val="000000" w:themeColor="text1"/>
          <w:sz w:val="28"/>
          <w:szCs w:val="28"/>
          <w:rtl/>
          <w:lang w:bidi="ar-DZ"/>
        </w:rPr>
        <w:footnoteReference w:id="3"/>
      </w:r>
      <w:r w:rsidR="00E56618" w:rsidRPr="00CD35AF">
        <w:rPr>
          <w:rFonts w:ascii="Simplified Arabic" w:hAnsi="Simplified Arabic" w:cs="Simplified Arabic"/>
          <w:color w:val="000000" w:themeColor="text1"/>
          <w:sz w:val="28"/>
          <w:szCs w:val="28"/>
          <w:rtl/>
          <w:lang w:bidi="ar-DZ"/>
        </w:rPr>
        <w:t xml:space="preserve"> الكون كله عبارة عن علامات سيميائية، والسيمياء</w:t>
      </w:r>
      <w:r w:rsidR="009E68CE" w:rsidRPr="00CD35AF">
        <w:rPr>
          <w:rFonts w:ascii="Simplified Arabic" w:hAnsi="Simplified Arabic" w:cs="Simplified Arabic"/>
          <w:color w:val="000000" w:themeColor="text1"/>
          <w:sz w:val="28"/>
          <w:szCs w:val="28"/>
          <w:rtl/>
          <w:lang w:bidi="ar-DZ"/>
        </w:rPr>
        <w:t xml:space="preserve"> </w:t>
      </w:r>
      <w:r w:rsidR="00E56618" w:rsidRPr="00CD35AF">
        <w:rPr>
          <w:rFonts w:ascii="Simplified Arabic" w:hAnsi="Simplified Arabic" w:cs="Simplified Arabic"/>
          <w:color w:val="000000" w:themeColor="text1"/>
          <w:sz w:val="28"/>
          <w:szCs w:val="28"/>
          <w:rtl/>
          <w:lang w:bidi="ar-DZ"/>
        </w:rPr>
        <w:t xml:space="preserve"> تبحث في هذه العلامات اللغوية والغير لغوية كما يطلق عليها كذلك "السيميوطيقا" وهي «دراسة شكلانية للمضمون، ينطلق فيها الباحث السيميوطيقي  من الشكل أو الدوال لمساءلة المضامنين أو المدلولات»</w:t>
      </w:r>
      <w:r w:rsidR="00BC74FC">
        <w:rPr>
          <w:rStyle w:val="Appelnotedebasdep"/>
          <w:rFonts w:ascii="Simplified Arabic" w:hAnsi="Simplified Arabic" w:cs="Simplified Arabic"/>
          <w:color w:val="000000" w:themeColor="text1"/>
          <w:sz w:val="28"/>
          <w:szCs w:val="28"/>
          <w:rtl/>
          <w:lang w:bidi="ar-DZ"/>
        </w:rPr>
        <w:footnoteReference w:id="4"/>
      </w:r>
      <w:r w:rsidR="00E56618" w:rsidRPr="00CD35AF">
        <w:rPr>
          <w:rFonts w:ascii="Simplified Arabic" w:hAnsi="Simplified Arabic" w:cs="Simplified Arabic"/>
          <w:color w:val="000000" w:themeColor="text1"/>
          <w:sz w:val="28"/>
          <w:szCs w:val="28"/>
          <w:rtl/>
          <w:lang w:bidi="ar-DZ"/>
        </w:rPr>
        <w:t xml:space="preserve"> مهما تعددت التسميات فإن هدفها يبقى واح</w:t>
      </w:r>
      <w:r w:rsidR="00DC2253" w:rsidRPr="00CD35AF">
        <w:rPr>
          <w:rFonts w:ascii="Simplified Arabic" w:hAnsi="Simplified Arabic" w:cs="Simplified Arabic"/>
          <w:color w:val="000000" w:themeColor="text1"/>
          <w:sz w:val="28"/>
          <w:szCs w:val="28"/>
          <w:rtl/>
          <w:lang w:bidi="ar-DZ"/>
        </w:rPr>
        <w:t>دا وهو البحث في الإحاءات الخفية.</w:t>
      </w:r>
    </w:p>
    <w:p w:rsidR="00C26436" w:rsidRPr="00CD35AF" w:rsidRDefault="004562BA" w:rsidP="00C26436">
      <w:pPr>
        <w:tabs>
          <w:tab w:val="left" w:pos="632"/>
        </w:tabs>
        <w:bidi/>
        <w:ind w:right="-284"/>
        <w:rPr>
          <w:rFonts w:ascii="Simplified Arabic" w:hAnsi="Simplified Arabic" w:cs="Simplified Arabic"/>
          <w:b/>
          <w:bCs/>
          <w:color w:val="000000" w:themeColor="text1"/>
          <w:sz w:val="28"/>
          <w:szCs w:val="28"/>
          <w:u w:val="single"/>
          <w:rtl/>
          <w:lang w:bidi="ar-DZ"/>
        </w:rPr>
      </w:pPr>
      <w:r w:rsidRPr="00CD35AF">
        <w:rPr>
          <w:rFonts w:ascii="Simplified Arabic" w:hAnsi="Simplified Arabic" w:cs="Simplified Arabic"/>
          <w:color w:val="000000" w:themeColor="text1"/>
          <w:sz w:val="28"/>
          <w:szCs w:val="28"/>
          <w:rtl/>
          <w:lang w:bidi="ar-DZ"/>
        </w:rPr>
        <w:t xml:space="preserve">   </w:t>
      </w:r>
      <w:r w:rsidRPr="00CD35AF">
        <w:rPr>
          <w:rFonts w:ascii="Simplified Arabic" w:hAnsi="Simplified Arabic" w:cs="Simplified Arabic"/>
          <w:b/>
          <w:bCs/>
          <w:color w:val="000000" w:themeColor="text1"/>
          <w:sz w:val="28"/>
          <w:szCs w:val="28"/>
          <w:u w:val="single"/>
          <w:rtl/>
          <w:lang w:bidi="ar-DZ"/>
        </w:rPr>
        <w:t>الأصول الفلسفية للسيميائية:</w:t>
      </w:r>
    </w:p>
    <w:p w:rsidR="00C26436" w:rsidRDefault="001742CE" w:rsidP="00C26436">
      <w:pPr>
        <w:tabs>
          <w:tab w:val="left" w:pos="632"/>
        </w:tabs>
        <w:bidi/>
        <w:ind w:right="-284"/>
        <w:rPr>
          <w:rFonts w:ascii="Simplified Arabic" w:hAnsi="Simplified Arabic" w:cs="Simplified Arabic"/>
          <w:color w:val="000000" w:themeColor="text1"/>
          <w:sz w:val="28"/>
          <w:szCs w:val="28"/>
          <w:rtl/>
          <w:lang w:bidi="ar-DZ"/>
        </w:rPr>
      </w:pPr>
      <w:r w:rsidRPr="00CD35AF">
        <w:rPr>
          <w:rFonts w:ascii="Simplified Arabic" w:hAnsi="Simplified Arabic" w:cs="Simplified Arabic"/>
          <w:color w:val="000000" w:themeColor="text1"/>
          <w:sz w:val="28"/>
          <w:szCs w:val="28"/>
          <w:rtl/>
          <w:lang w:bidi="ar-DZ"/>
        </w:rPr>
        <w:t xml:space="preserve">   السيمياء هو علم موغل في القدم ظهرت مع «الفكر اليوناني القديم مع أفلاطون وأرسطو الذين أبديا اهتماما بنظرية المعنى، وكذلك إلى الرواقيين الذين وضعوا نظرية شاملة لهذا العلم بتمييزهم بين الدال والمدلول»</w:t>
      </w:r>
      <w:r w:rsidR="00542585">
        <w:rPr>
          <w:rStyle w:val="Appelnotedebasdep"/>
          <w:rFonts w:ascii="Simplified Arabic" w:hAnsi="Simplified Arabic" w:cs="Simplified Arabic"/>
          <w:color w:val="000000" w:themeColor="text1"/>
          <w:sz w:val="28"/>
          <w:szCs w:val="28"/>
          <w:rtl/>
          <w:lang w:bidi="ar-DZ"/>
        </w:rPr>
        <w:footnoteReference w:id="5"/>
      </w:r>
      <w:r w:rsidR="008B7DC2">
        <w:rPr>
          <w:rFonts w:ascii="Simplified Arabic" w:hAnsi="Simplified Arabic" w:cs="Simplified Arabic" w:hint="cs"/>
          <w:color w:val="000000" w:themeColor="text1"/>
          <w:sz w:val="28"/>
          <w:szCs w:val="28"/>
          <w:rtl/>
          <w:lang w:bidi="ar-DZ"/>
        </w:rPr>
        <w:t xml:space="preserve"> كما اهتم العرب كذلك أمثال: </w:t>
      </w:r>
      <w:r w:rsidR="008B7DC2">
        <w:rPr>
          <w:rFonts w:ascii="Simplified Arabic" w:hAnsi="Simplified Arabic" w:cs="Simplified Arabic"/>
          <w:color w:val="000000" w:themeColor="text1"/>
          <w:sz w:val="28"/>
          <w:szCs w:val="28"/>
          <w:rtl/>
          <w:lang w:bidi="ar-DZ"/>
        </w:rPr>
        <w:t>«</w:t>
      </w:r>
      <w:r w:rsidR="008B7DC2">
        <w:rPr>
          <w:rFonts w:ascii="Simplified Arabic" w:hAnsi="Simplified Arabic" w:cs="Simplified Arabic" w:hint="cs"/>
          <w:color w:val="000000" w:themeColor="text1"/>
          <w:sz w:val="28"/>
          <w:szCs w:val="28"/>
          <w:rtl/>
          <w:lang w:bidi="ar-DZ"/>
        </w:rPr>
        <w:t xml:space="preserve">الغزالي وابن سينا اللذين تحدثا عن اللفظ بوصفه رمزا وعن </w:t>
      </w:r>
      <w:r w:rsidR="008B7DC2">
        <w:rPr>
          <w:rFonts w:ascii="Simplified Arabic" w:hAnsi="Simplified Arabic" w:cs="Simplified Arabic" w:hint="cs"/>
          <w:color w:val="000000" w:themeColor="text1"/>
          <w:sz w:val="28"/>
          <w:szCs w:val="28"/>
          <w:rtl/>
          <w:lang w:bidi="ar-DZ"/>
        </w:rPr>
        <w:lastRenderedPageBreak/>
        <w:t xml:space="preserve">المعنى بوصفه مدلولا، ومن دون استبدال ستار النسيان عن العلاقة الاعتباطية بين الدال والمدلول وهي الفكرة التي انسى عليها منطق التحليل السيميائي لملفوظات النصوص الأدبية، لوصفها إشارات صابحة </w:t>
      </w:r>
      <w:r w:rsidR="004824F4">
        <w:rPr>
          <w:rFonts w:ascii="Simplified Arabic" w:hAnsi="Simplified Arabic" w:cs="Simplified Arabic" w:hint="cs"/>
          <w:color w:val="000000" w:themeColor="text1"/>
          <w:sz w:val="28"/>
          <w:szCs w:val="28"/>
          <w:rtl/>
          <w:lang w:bidi="ar-DZ"/>
        </w:rPr>
        <w:t>في فضاء دلالي مكثف بالإيحاءات</w:t>
      </w:r>
      <w:r w:rsidR="004824F4">
        <w:rPr>
          <w:rFonts w:ascii="Simplified Arabic" w:hAnsi="Simplified Arabic" w:cs="Simplified Arabic"/>
          <w:color w:val="000000" w:themeColor="text1"/>
          <w:sz w:val="28"/>
          <w:szCs w:val="28"/>
          <w:rtl/>
          <w:lang w:bidi="ar-DZ"/>
        </w:rPr>
        <w:t>»</w:t>
      </w:r>
      <w:r w:rsidR="00DB4FAD">
        <w:rPr>
          <w:rStyle w:val="Appelnotedebasdep"/>
          <w:rFonts w:ascii="Simplified Arabic" w:hAnsi="Simplified Arabic" w:cs="Simplified Arabic"/>
          <w:color w:val="000000" w:themeColor="text1"/>
          <w:sz w:val="28"/>
          <w:szCs w:val="28"/>
          <w:rtl/>
          <w:lang w:bidi="ar-DZ"/>
        </w:rPr>
        <w:footnoteReference w:id="6"/>
      </w:r>
      <w:r w:rsidR="00F02FDC">
        <w:rPr>
          <w:rFonts w:ascii="Simplified Arabic" w:hAnsi="Simplified Arabic" w:cs="Simplified Arabic" w:hint="cs"/>
          <w:color w:val="000000" w:themeColor="text1"/>
          <w:sz w:val="28"/>
          <w:szCs w:val="28"/>
          <w:rtl/>
          <w:lang w:bidi="ar-DZ"/>
        </w:rPr>
        <w:t xml:space="preserve"> من هنا نتوصل إلى أن السيمياء جذورها تعود إلى الفلاسفة الغرب والعرب.</w:t>
      </w:r>
    </w:p>
    <w:p w:rsidR="00625792" w:rsidRDefault="00625792" w:rsidP="00625792">
      <w:pPr>
        <w:tabs>
          <w:tab w:val="left" w:pos="632"/>
        </w:tabs>
        <w:bidi/>
        <w:ind w:right="-284"/>
        <w:rPr>
          <w:rFonts w:ascii="Simplified Arabic" w:hAnsi="Simplified Arabic" w:cs="Simplified Arabic"/>
          <w:color w:val="FF0000"/>
          <w:sz w:val="28"/>
          <w:szCs w:val="28"/>
          <w:rtl/>
          <w:lang w:bidi="ar-DZ"/>
        </w:rPr>
      </w:pPr>
      <w:r>
        <w:rPr>
          <w:rFonts w:ascii="Simplified Arabic" w:hAnsi="Simplified Arabic" w:cs="Simplified Arabic" w:hint="cs"/>
          <w:b/>
          <w:bCs/>
          <w:color w:val="FF0000"/>
          <w:sz w:val="32"/>
          <w:szCs w:val="32"/>
          <w:u w:val="single"/>
          <w:rtl/>
          <w:lang w:bidi="ar-DZ"/>
        </w:rPr>
        <w:t>الأصول اللسانية للسيميائية</w:t>
      </w:r>
      <w:r>
        <w:rPr>
          <w:rFonts w:ascii="Simplified Arabic" w:hAnsi="Simplified Arabic" w:cs="Simplified Arabic" w:hint="cs"/>
          <w:b/>
          <w:bCs/>
          <w:color w:val="FF0000"/>
          <w:sz w:val="32"/>
          <w:szCs w:val="32"/>
          <w:rtl/>
          <w:lang w:bidi="ar-DZ"/>
        </w:rPr>
        <w:t>:</w:t>
      </w:r>
    </w:p>
    <w:p w:rsidR="00FC53B0" w:rsidRDefault="00FC53B0" w:rsidP="008745FF">
      <w:pPr>
        <w:tabs>
          <w:tab w:val="left" w:pos="632"/>
        </w:tabs>
        <w:bidi/>
        <w:ind w:right="-284"/>
        <w:rPr>
          <w:rFonts w:ascii="Simplified Arabic" w:hAnsi="Simplified Arabic" w:cs="Simplified Arabic"/>
          <w:color w:val="000000" w:themeColor="text1"/>
          <w:sz w:val="28"/>
          <w:szCs w:val="28"/>
          <w:rtl/>
          <w:lang w:bidi="ar-DZ"/>
        </w:rPr>
      </w:pPr>
      <w:r>
        <w:rPr>
          <w:rFonts w:ascii="Simplified Arabic" w:hAnsi="Simplified Arabic" w:cs="Simplified Arabic" w:hint="cs"/>
          <w:color w:val="FF0000"/>
          <w:sz w:val="28"/>
          <w:szCs w:val="28"/>
          <w:rtl/>
          <w:lang w:bidi="ar-DZ"/>
        </w:rPr>
        <w:t xml:space="preserve">   </w:t>
      </w:r>
      <w:r>
        <w:rPr>
          <w:rFonts w:ascii="Simplified Arabic" w:hAnsi="Simplified Arabic" w:cs="Simplified Arabic" w:hint="cs"/>
          <w:color w:val="000000" w:themeColor="text1"/>
          <w:sz w:val="28"/>
          <w:szCs w:val="28"/>
          <w:rtl/>
          <w:lang w:bidi="ar-DZ"/>
        </w:rPr>
        <w:t xml:space="preserve">أول علماء السيميائية العالم السوسيري "فرديناند دي سوسير"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حيث يقول: بمقدورنا أن نتصور علما يدرس حياة الإشارة وسط الحياة الاجتماعية، فيكون هذا العلم قسما من علم النفس الاجتماعي، وبالتالي قسما من علم النفس العام منطلق عليه اسم السيمولوجيا، وسيبقى لنا هذا العلم ماهو مضمون الإشارات، وأي قونين تتحكم فيها...</w:t>
      </w:r>
      <w:r>
        <w:rPr>
          <w:rFonts w:ascii="Simplified Arabic" w:hAnsi="Simplified Arabic" w:cs="Simplified Arabic"/>
          <w:color w:val="000000" w:themeColor="text1"/>
          <w:sz w:val="28"/>
          <w:szCs w:val="28"/>
          <w:rtl/>
          <w:lang w:bidi="ar-DZ"/>
        </w:rPr>
        <w:t>»</w:t>
      </w:r>
      <w:r>
        <w:rPr>
          <w:rStyle w:val="Appelnotedebasdep"/>
          <w:rFonts w:ascii="Simplified Arabic" w:hAnsi="Simplified Arabic" w:cs="Simplified Arabic"/>
          <w:color w:val="000000" w:themeColor="text1"/>
          <w:sz w:val="28"/>
          <w:szCs w:val="28"/>
          <w:rtl/>
          <w:lang w:bidi="ar-DZ"/>
        </w:rPr>
        <w:footnoteReference w:id="7"/>
      </w:r>
      <w:r w:rsidR="000D7A70">
        <w:rPr>
          <w:rFonts w:ascii="Simplified Arabic" w:hAnsi="Simplified Arabic" w:cs="Simplified Arabic" w:hint="cs"/>
          <w:color w:val="000000" w:themeColor="text1"/>
          <w:sz w:val="28"/>
          <w:szCs w:val="28"/>
          <w:rtl/>
          <w:lang w:bidi="ar-DZ"/>
        </w:rPr>
        <w:t xml:space="preserve"> </w:t>
      </w:r>
      <w:r w:rsidR="00F317DB">
        <w:rPr>
          <w:rFonts w:ascii="Simplified Arabic" w:hAnsi="Simplified Arabic" w:cs="Simplified Arabic" w:hint="cs"/>
          <w:color w:val="000000" w:themeColor="text1"/>
          <w:sz w:val="28"/>
          <w:szCs w:val="28"/>
          <w:rtl/>
          <w:lang w:bidi="ar-DZ"/>
        </w:rPr>
        <w:t xml:space="preserve">نظرية "دي سوسير" في حديثه عن ثنائيات </w:t>
      </w:r>
      <w:r w:rsidR="008745FF">
        <w:rPr>
          <w:rFonts w:ascii="Simplified Arabic" w:hAnsi="Simplified Arabic" w:cs="Simplified Arabic" w:hint="cs"/>
          <w:color w:val="000000" w:themeColor="text1"/>
          <w:sz w:val="28"/>
          <w:szCs w:val="28"/>
          <w:rtl/>
          <w:lang w:bidi="ar-DZ"/>
        </w:rPr>
        <w:t>(</w:t>
      </w:r>
      <w:r w:rsidR="00F317DB">
        <w:rPr>
          <w:rFonts w:ascii="Simplified Arabic" w:hAnsi="Simplified Arabic" w:cs="Simplified Arabic" w:hint="cs"/>
          <w:color w:val="000000" w:themeColor="text1"/>
          <w:sz w:val="28"/>
          <w:szCs w:val="28"/>
          <w:rtl/>
          <w:lang w:bidi="ar-DZ"/>
        </w:rPr>
        <w:t>الداخل والخارج</w:t>
      </w:r>
      <w:r w:rsidR="008745FF">
        <w:rPr>
          <w:rFonts w:ascii="Simplified Arabic" w:hAnsi="Simplified Arabic" w:cs="Simplified Arabic" w:hint="cs"/>
          <w:color w:val="000000" w:themeColor="text1"/>
          <w:sz w:val="28"/>
          <w:szCs w:val="28"/>
          <w:rtl/>
          <w:lang w:bidi="ar-DZ"/>
        </w:rPr>
        <w:t>) (</w:t>
      </w:r>
      <w:r w:rsidR="00F317DB">
        <w:rPr>
          <w:rFonts w:ascii="Simplified Arabic" w:hAnsi="Simplified Arabic" w:cs="Simplified Arabic" w:hint="cs"/>
          <w:color w:val="000000" w:themeColor="text1"/>
          <w:sz w:val="28"/>
          <w:szCs w:val="28"/>
          <w:rtl/>
          <w:lang w:bidi="ar-DZ"/>
        </w:rPr>
        <w:t>حضور /غياب) (صوت /المعنى) أصبحت هذه الثنائيات بمثابة مبادئ النصوص النسقية.</w:t>
      </w:r>
    </w:p>
    <w:p w:rsidR="002F3FFA" w:rsidRDefault="002F3FFA" w:rsidP="002F3FFA">
      <w:pPr>
        <w:tabs>
          <w:tab w:val="left" w:pos="632"/>
        </w:tabs>
        <w:bidi/>
        <w:ind w:right="-284"/>
        <w:rPr>
          <w:rFonts w:ascii="Simplified Arabic" w:hAnsi="Simplified Arabic" w:cs="Simplified Arabic"/>
          <w:b/>
          <w:bCs/>
          <w:color w:val="FF0000"/>
          <w:sz w:val="32"/>
          <w:szCs w:val="32"/>
          <w:rtl/>
          <w:lang w:bidi="ar-DZ"/>
        </w:rPr>
      </w:pPr>
      <w:r>
        <w:rPr>
          <w:rFonts w:ascii="Simplified Arabic" w:hAnsi="Simplified Arabic" w:cs="Simplified Arabic" w:hint="cs"/>
          <w:b/>
          <w:bCs/>
          <w:color w:val="FF0000"/>
          <w:sz w:val="32"/>
          <w:szCs w:val="32"/>
          <w:u w:val="single"/>
          <w:rtl/>
          <w:lang w:bidi="ar-DZ"/>
        </w:rPr>
        <w:t>مدار المقاربة السيميائية</w:t>
      </w:r>
      <w:r>
        <w:rPr>
          <w:rFonts w:ascii="Simplified Arabic" w:hAnsi="Simplified Arabic" w:cs="Simplified Arabic" w:hint="cs"/>
          <w:b/>
          <w:bCs/>
          <w:color w:val="FF0000"/>
          <w:sz w:val="32"/>
          <w:szCs w:val="32"/>
          <w:rtl/>
          <w:lang w:bidi="ar-DZ"/>
        </w:rPr>
        <w:t>:</w:t>
      </w:r>
    </w:p>
    <w:p w:rsidR="002F3FFA" w:rsidRDefault="002F3FFA" w:rsidP="002F3FFA">
      <w:pPr>
        <w:tabs>
          <w:tab w:val="left" w:pos="632"/>
        </w:tabs>
        <w:bidi/>
        <w:ind w:right="-284"/>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تتم قراءة النص قراءة سيميائية عبر مرحلتين وهما:</w:t>
      </w:r>
    </w:p>
    <w:p w:rsidR="002F3FFA" w:rsidRDefault="002F3FFA" w:rsidP="002F3FFA">
      <w:pPr>
        <w:tabs>
          <w:tab w:val="left" w:pos="632"/>
        </w:tabs>
        <w:bidi/>
        <w:ind w:right="-284"/>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28"/>
          <w:szCs w:val="28"/>
          <w:u w:val="single"/>
          <w:rtl/>
          <w:lang w:bidi="ar-DZ"/>
        </w:rPr>
        <w:t>مرحلة القراءة</w:t>
      </w:r>
      <w:r>
        <w:rPr>
          <w:rFonts w:ascii="Simplified Arabic" w:hAnsi="Simplified Arabic" w:cs="Simplified Arabic" w:hint="cs"/>
          <w:b/>
          <w:bCs/>
          <w:color w:val="FF0000"/>
          <w:sz w:val="28"/>
          <w:szCs w:val="28"/>
          <w:rtl/>
          <w:lang w:bidi="ar-DZ"/>
        </w:rPr>
        <w:t xml:space="preserve">: </w:t>
      </w:r>
      <w:r>
        <w:rPr>
          <w:rFonts w:ascii="Simplified Arabic" w:hAnsi="Simplified Arabic" w:cs="Simplified Arabic"/>
          <w:b/>
          <w:bCs/>
          <w:color w:val="000000" w:themeColor="text1"/>
          <w:sz w:val="28"/>
          <w:szCs w:val="28"/>
          <w:rtl/>
          <w:lang w:bidi="ar-DZ"/>
        </w:rPr>
        <w:t>«</w:t>
      </w:r>
      <w:r w:rsidR="00AE3DC1">
        <w:rPr>
          <w:rFonts w:ascii="Simplified Arabic" w:hAnsi="Simplified Arabic" w:cs="Simplified Arabic" w:hint="cs"/>
          <w:color w:val="000000" w:themeColor="text1"/>
          <w:sz w:val="28"/>
          <w:szCs w:val="28"/>
          <w:rtl/>
          <w:lang w:bidi="ar-DZ"/>
        </w:rPr>
        <w:t>والتي فيها تقسم وحدات النص بدءا بوحدة الصوت، فالكلمة والجملة، فالمكون أو المشهد، ويلي ذلك الوقوف عند المعاني القاموسية لهذه الوحدات، يضاف إلى ذلك هندسة الوحدات الجمالية كالإيقاع الداخلي والخارجي والحوار، والزمان والمكان، وتحديد أقطاب الصراع الدراسي، وتبيان الحقول الدلالية الطاغية، والثبت والتحول، والثنائيات الضدية، وما إلى ذلك من التحديات المبثوثة في قواميس السيميائيين</w:t>
      </w:r>
      <w:r w:rsidR="00AE3DC1">
        <w:rPr>
          <w:rFonts w:ascii="Simplified Arabic" w:hAnsi="Simplified Arabic" w:cs="Simplified Arabic"/>
          <w:color w:val="000000" w:themeColor="text1"/>
          <w:sz w:val="28"/>
          <w:szCs w:val="28"/>
          <w:rtl/>
          <w:lang w:bidi="ar-DZ"/>
        </w:rPr>
        <w:t>»</w:t>
      </w:r>
      <w:r w:rsidR="00F06A2C">
        <w:rPr>
          <w:rStyle w:val="Appelnotedebasdep"/>
          <w:rFonts w:ascii="Simplified Arabic" w:hAnsi="Simplified Arabic" w:cs="Simplified Arabic"/>
          <w:color w:val="000000" w:themeColor="text1"/>
          <w:sz w:val="28"/>
          <w:szCs w:val="28"/>
          <w:rtl/>
          <w:lang w:bidi="ar-DZ"/>
        </w:rPr>
        <w:footnoteReference w:id="8"/>
      </w:r>
      <w:r w:rsidR="00AE3DC1">
        <w:rPr>
          <w:rFonts w:ascii="Simplified Arabic" w:hAnsi="Simplified Arabic" w:cs="Simplified Arabic" w:hint="cs"/>
          <w:color w:val="000000" w:themeColor="text1"/>
          <w:sz w:val="28"/>
          <w:szCs w:val="28"/>
          <w:rtl/>
          <w:lang w:bidi="ar-DZ"/>
        </w:rPr>
        <w:t xml:space="preserve"> </w:t>
      </w:r>
      <w:r w:rsidR="00C86F8D">
        <w:rPr>
          <w:rFonts w:ascii="Simplified Arabic" w:hAnsi="Simplified Arabic" w:cs="Simplified Arabic" w:hint="cs"/>
          <w:color w:val="000000" w:themeColor="text1"/>
          <w:sz w:val="28"/>
          <w:szCs w:val="28"/>
          <w:rtl/>
          <w:lang w:bidi="ar-DZ"/>
        </w:rPr>
        <w:t>لتأتي بعدها المرحلة الثانية، وهي:</w:t>
      </w:r>
    </w:p>
    <w:p w:rsidR="00C86F8D" w:rsidRDefault="00C86F8D" w:rsidP="00C86F8D">
      <w:pPr>
        <w:tabs>
          <w:tab w:val="left" w:pos="632"/>
        </w:tabs>
        <w:bidi/>
        <w:ind w:right="-284"/>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28"/>
          <w:szCs w:val="28"/>
          <w:u w:val="single"/>
          <w:rtl/>
          <w:lang w:bidi="ar-DZ"/>
        </w:rPr>
        <w:t>مرحلة القراءة العمودية</w:t>
      </w:r>
      <w:r>
        <w:rPr>
          <w:rFonts w:ascii="Simplified Arabic" w:hAnsi="Simplified Arabic" w:cs="Simplified Arabic" w:hint="cs"/>
          <w:color w:val="FF0000"/>
          <w:sz w:val="28"/>
          <w:szCs w:val="28"/>
          <w:rtl/>
          <w:lang w:bidi="ar-DZ"/>
        </w:rPr>
        <w:t>:</w:t>
      </w:r>
      <w:r>
        <w:rPr>
          <w:rFonts w:ascii="Simplified Arabic" w:hAnsi="Simplified Arabic" w:cs="Simplified Arabic" w:hint="cs"/>
          <w:color w:val="000000" w:themeColor="text1"/>
          <w:sz w:val="28"/>
          <w:szCs w:val="28"/>
          <w:rtl/>
          <w:lang w:bidi="ar-DZ"/>
        </w:rPr>
        <w:t xml:space="preserve">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 xml:space="preserve">إذ يتحول النص الأدبي إلى نص سابح في فضاء من اليم الدلالي اللامحدود، وبموجب هذا الانبجاس الدلائلي يتحول النص من مرحلة النص البداية أو الكتابة إلى مرحلة النص </w:t>
      </w:r>
      <w:r>
        <w:rPr>
          <w:rFonts w:ascii="Simplified Arabic" w:hAnsi="Simplified Arabic" w:cs="Simplified Arabic" w:hint="cs"/>
          <w:color w:val="000000" w:themeColor="text1"/>
          <w:sz w:val="28"/>
          <w:szCs w:val="28"/>
          <w:rtl/>
          <w:lang w:bidi="ar-DZ"/>
        </w:rPr>
        <w:lastRenderedPageBreak/>
        <w:t>القراءة...والنص الابداعي في التصور السيميائي متعدد الدلالة بتعدد قرائه ومتلقيه</w:t>
      </w:r>
      <w:r>
        <w:rPr>
          <w:rFonts w:ascii="Simplified Arabic" w:hAnsi="Simplified Arabic" w:cs="Simplified Arabic"/>
          <w:color w:val="000000" w:themeColor="text1"/>
          <w:sz w:val="28"/>
          <w:szCs w:val="28"/>
          <w:rtl/>
          <w:lang w:bidi="ar-DZ"/>
        </w:rPr>
        <w:t>»</w:t>
      </w:r>
      <w:r w:rsidR="00AD255C">
        <w:rPr>
          <w:rStyle w:val="Appelnotedebasdep"/>
          <w:rFonts w:ascii="Simplified Arabic" w:hAnsi="Simplified Arabic" w:cs="Simplified Arabic"/>
          <w:color w:val="000000" w:themeColor="text1"/>
          <w:sz w:val="28"/>
          <w:szCs w:val="28"/>
          <w:rtl/>
          <w:lang w:bidi="ar-DZ"/>
        </w:rPr>
        <w:footnoteReference w:id="9"/>
      </w:r>
      <w:r w:rsidR="0053578C">
        <w:rPr>
          <w:rFonts w:ascii="Simplified Arabic" w:hAnsi="Simplified Arabic" w:cs="Simplified Arabic" w:hint="cs"/>
          <w:color w:val="000000" w:themeColor="text1"/>
          <w:sz w:val="28"/>
          <w:szCs w:val="28"/>
          <w:rtl/>
          <w:lang w:bidi="ar-DZ"/>
        </w:rPr>
        <w:t xml:space="preserve"> كونه فضاء دلالي متعدد الدلالة حسب تعدد القراء.</w:t>
      </w:r>
    </w:p>
    <w:p w:rsidR="0053578C" w:rsidRPr="00C86F8D" w:rsidRDefault="0053578C" w:rsidP="0053578C">
      <w:pPr>
        <w:tabs>
          <w:tab w:val="left" w:pos="632"/>
        </w:tabs>
        <w:bidi/>
        <w:ind w:right="-284"/>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كما اهتم السيميائيين بدراسة العنوان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وهو في حد ذاته نص، وباقي المقاطع ماهي إلا تفريغات نصية تنبع من العنوان الأم، والعلاقة بين هذا الدفق التفريعي والعنوان بوصفه متخيلا شعريا أو سرديا هي ليست بالعلاقة الاعتباطية، إنها علاقة طبيعية منطقية، علاقة انتماء دلائلي، لأن الدلالة التي تثيرها الوحدات والمقاطع أصبح محكوما عليها بفلسفة الانتماء إلى الحقل الدلالي الرئيسي الذي يشغله الفضاء الدرامو دلالي للعنوان</w:t>
      </w:r>
      <w:r>
        <w:rPr>
          <w:rFonts w:ascii="Simplified Arabic" w:hAnsi="Simplified Arabic" w:cs="Simplified Arabic"/>
          <w:color w:val="000000" w:themeColor="text1"/>
          <w:sz w:val="28"/>
          <w:szCs w:val="28"/>
          <w:rtl/>
          <w:lang w:bidi="ar-DZ"/>
        </w:rPr>
        <w:t>»</w:t>
      </w:r>
      <w:r w:rsidR="00EE2C49">
        <w:rPr>
          <w:rStyle w:val="Appelnotedebasdep"/>
          <w:rFonts w:ascii="Simplified Arabic" w:hAnsi="Simplified Arabic" w:cs="Simplified Arabic"/>
          <w:color w:val="000000" w:themeColor="text1"/>
          <w:sz w:val="28"/>
          <w:szCs w:val="28"/>
          <w:rtl/>
          <w:lang w:bidi="ar-DZ"/>
        </w:rPr>
        <w:footnoteReference w:id="10"/>
      </w:r>
      <w:r w:rsidR="00B23641">
        <w:rPr>
          <w:rFonts w:ascii="Simplified Arabic" w:hAnsi="Simplified Arabic" w:cs="Simplified Arabic" w:hint="cs"/>
          <w:color w:val="000000" w:themeColor="text1"/>
          <w:sz w:val="28"/>
          <w:szCs w:val="28"/>
          <w:rtl/>
          <w:lang w:bidi="ar-DZ"/>
        </w:rPr>
        <w:t xml:space="preserve"> العنوان عبارة عن تجميع دلائلي للنص ككل، بحيث تأتي مقاطع النص توسعا للعنوان.</w:t>
      </w:r>
    </w:p>
    <w:p w:rsidR="00C86F8D" w:rsidRPr="002F3FFA" w:rsidRDefault="007B6110" w:rsidP="00C86F8D">
      <w:pPr>
        <w:tabs>
          <w:tab w:val="left" w:pos="632"/>
        </w:tabs>
        <w:bidi/>
        <w:ind w:right="-284"/>
        <w:rPr>
          <w:rFonts w:ascii="Simplified Arabic" w:hAnsi="Simplified Arabic" w:cs="Simplified Arabic"/>
          <w:color w:val="000000" w:themeColor="text1"/>
          <w:sz w:val="28"/>
          <w:szCs w:val="28"/>
          <w:rtl/>
          <w:lang w:bidi="ar-DZ"/>
        </w:rPr>
      </w:pPr>
      <w:r>
        <w:rPr>
          <w:rFonts w:ascii="Simplified Arabic" w:hAnsi="Simplified Arabic" w:cs="Simplified Arabic"/>
          <w:noProof/>
          <w:color w:val="000000" w:themeColor="text1"/>
          <w:sz w:val="28"/>
          <w:szCs w:val="28"/>
          <w:rtl/>
        </w:rPr>
        <w:drawing>
          <wp:inline distT="0" distB="0" distL="0" distR="0">
            <wp:extent cx="5760720" cy="3324860"/>
            <wp:effectExtent l="19050" t="0" r="0" b="0"/>
            <wp:docPr id="1" name="Image 0" descr="Capture d’écran (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92).png"/>
                    <pic:cNvPicPr/>
                  </pic:nvPicPr>
                  <pic:blipFill>
                    <a:blip r:embed="rId7"/>
                    <a:stretch>
                      <a:fillRect/>
                    </a:stretch>
                  </pic:blipFill>
                  <pic:spPr>
                    <a:xfrm>
                      <a:off x="0" y="0"/>
                      <a:ext cx="5760720" cy="3324860"/>
                    </a:xfrm>
                    <a:prstGeom prst="rect">
                      <a:avLst/>
                    </a:prstGeom>
                  </pic:spPr>
                </pic:pic>
              </a:graphicData>
            </a:graphic>
          </wp:inline>
        </w:drawing>
      </w:r>
    </w:p>
    <w:p w:rsidR="009E68CE" w:rsidRPr="009E68CE" w:rsidRDefault="009E68CE" w:rsidP="009E68CE">
      <w:pPr>
        <w:tabs>
          <w:tab w:val="left" w:pos="632"/>
        </w:tabs>
        <w:bidi/>
        <w:ind w:right="-284"/>
        <w:rPr>
          <w:rFonts w:ascii="Microsoft Uighur" w:hAnsi="Microsoft Uighur" w:cs="Microsoft Uighur"/>
          <w:color w:val="000000" w:themeColor="text1"/>
          <w:sz w:val="28"/>
          <w:szCs w:val="28"/>
          <w:rtl/>
          <w:lang w:bidi="ar-DZ"/>
        </w:rPr>
      </w:pPr>
    </w:p>
    <w:sectPr w:rsidR="009E68CE" w:rsidRPr="009E68CE" w:rsidSect="00C40251">
      <w:footerReference w:type="default" r:id="rId8"/>
      <w:footnotePr>
        <w:numRestart w:val="eachPage"/>
      </w:footnotePr>
      <w:pgSz w:w="11906" w:h="16838"/>
      <w:pgMar w:top="1440" w:right="1133" w:bottom="1440"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2D4" w:rsidRDefault="00DE42D4" w:rsidP="00C40251">
      <w:pPr>
        <w:spacing w:after="0" w:line="240" w:lineRule="auto"/>
      </w:pPr>
      <w:r>
        <w:separator/>
      </w:r>
    </w:p>
  </w:endnote>
  <w:endnote w:type="continuationSeparator" w:id="1">
    <w:p w:rsidR="00DE42D4" w:rsidRDefault="00DE42D4" w:rsidP="00C40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Microsoft Uighur">
    <w:panose1 w:val="02000000000000000000"/>
    <w:charset w:val="00"/>
    <w:family w:val="auto"/>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911"/>
      <w:docPartObj>
        <w:docPartGallery w:val="Page Numbers (Bottom of Page)"/>
        <w:docPartUnique/>
      </w:docPartObj>
    </w:sdtPr>
    <w:sdtContent>
      <w:p w:rsidR="00C40251" w:rsidRDefault="00DF20B5">
        <w:pPr>
          <w:pStyle w:val="Pieddepage"/>
        </w:pPr>
        <w:r>
          <w:rPr>
            <w:noProof/>
            <w:lang w:eastAsia="zh-TW"/>
          </w:rPr>
          <w:pict>
            <v:group id="_x0000_s2049"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C40251" w:rsidRDefault="00DF20B5">
                      <w:pPr>
                        <w:spacing w:after="0" w:line="240" w:lineRule="auto"/>
                        <w:jc w:val="center"/>
                        <w:rPr>
                          <w:color w:val="17365D" w:themeColor="text2" w:themeShade="BF"/>
                          <w:sz w:val="16"/>
                          <w:szCs w:val="16"/>
                        </w:rPr>
                      </w:pPr>
                      <w:fldSimple w:instr=" PAGE   \* MERGEFORMAT ">
                        <w:r w:rsidR="007B6110" w:rsidRPr="007B6110">
                          <w:rPr>
                            <w:noProof/>
                            <w:color w:val="17365D" w:themeColor="text2" w:themeShade="BF"/>
                            <w:sz w:val="16"/>
                            <w:szCs w:val="16"/>
                          </w:rPr>
                          <w:t>3</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2D4" w:rsidRDefault="00DE42D4" w:rsidP="00A65B7C">
      <w:pPr>
        <w:spacing w:after="0" w:line="240" w:lineRule="auto"/>
        <w:jc w:val="right"/>
      </w:pPr>
      <w:r>
        <w:separator/>
      </w:r>
    </w:p>
  </w:footnote>
  <w:footnote w:type="continuationSeparator" w:id="1">
    <w:p w:rsidR="00DE42D4" w:rsidRDefault="00DE42D4" w:rsidP="00C40251">
      <w:pPr>
        <w:spacing w:after="0" w:line="240" w:lineRule="auto"/>
      </w:pPr>
      <w:r>
        <w:continuationSeparator/>
      </w:r>
    </w:p>
  </w:footnote>
  <w:footnote w:id="2">
    <w:p w:rsidR="00792250" w:rsidRPr="00542585" w:rsidRDefault="00792250" w:rsidP="00792250">
      <w:pPr>
        <w:pStyle w:val="Notedebasdepage"/>
        <w:bidi/>
        <w:rPr>
          <w:rFonts w:ascii="Simplified Arabic" w:hAnsi="Simplified Arabic" w:cs="Simplified Arabic"/>
          <w:sz w:val="24"/>
          <w:szCs w:val="24"/>
          <w:rtl/>
          <w:lang w:bidi="ar-DZ"/>
        </w:rPr>
      </w:pPr>
      <w:r w:rsidRPr="00542585">
        <w:rPr>
          <w:rStyle w:val="Appelnotedebasdep"/>
          <w:rFonts w:ascii="Simplified Arabic" w:hAnsi="Simplified Arabic" w:cs="Simplified Arabic"/>
          <w:sz w:val="24"/>
          <w:szCs w:val="24"/>
        </w:rPr>
        <w:footnoteRef/>
      </w:r>
      <w:r w:rsidRPr="00542585">
        <w:rPr>
          <w:rFonts w:ascii="Simplified Arabic" w:hAnsi="Simplified Arabic" w:cs="Simplified Arabic"/>
          <w:sz w:val="24"/>
          <w:szCs w:val="24"/>
        </w:rPr>
        <w:t xml:space="preserve"> </w:t>
      </w:r>
      <w:r w:rsidRPr="00542585">
        <w:rPr>
          <w:rFonts w:ascii="Simplified Arabic" w:hAnsi="Simplified Arabic" w:cs="Simplified Arabic"/>
          <w:sz w:val="24"/>
          <w:szCs w:val="24"/>
          <w:rtl/>
          <w:lang w:bidi="ar-DZ"/>
        </w:rPr>
        <w:t xml:space="preserve">- </w:t>
      </w:r>
      <w:r w:rsidR="004B08C2" w:rsidRPr="00542585">
        <w:rPr>
          <w:rFonts w:ascii="Simplified Arabic" w:hAnsi="Simplified Arabic" w:cs="Simplified Arabic"/>
          <w:sz w:val="24"/>
          <w:szCs w:val="24"/>
          <w:rtl/>
          <w:lang w:bidi="ar-DZ"/>
        </w:rPr>
        <w:t>يوسف وغليسي، مناهج النقد الأدبي، ص93.</w:t>
      </w:r>
    </w:p>
  </w:footnote>
  <w:footnote w:id="3">
    <w:p w:rsidR="00BC74FC" w:rsidRPr="00542585" w:rsidRDefault="00BC74FC" w:rsidP="00BC74FC">
      <w:pPr>
        <w:pStyle w:val="Notedebasdepage"/>
        <w:bidi/>
        <w:rPr>
          <w:rFonts w:ascii="Simplified Arabic" w:hAnsi="Simplified Arabic" w:cs="Simplified Arabic"/>
          <w:sz w:val="24"/>
          <w:szCs w:val="24"/>
          <w:rtl/>
          <w:lang w:bidi="ar-DZ"/>
        </w:rPr>
      </w:pPr>
      <w:r w:rsidRPr="00542585">
        <w:rPr>
          <w:rStyle w:val="Appelnotedebasdep"/>
          <w:rFonts w:ascii="Simplified Arabic" w:hAnsi="Simplified Arabic" w:cs="Simplified Arabic"/>
          <w:sz w:val="24"/>
          <w:szCs w:val="24"/>
        </w:rPr>
        <w:footnoteRef/>
      </w:r>
      <w:r w:rsidRPr="00542585">
        <w:rPr>
          <w:rFonts w:ascii="Simplified Arabic" w:hAnsi="Simplified Arabic" w:cs="Simplified Arabic"/>
          <w:sz w:val="24"/>
          <w:szCs w:val="24"/>
        </w:rPr>
        <w:t xml:space="preserve"> </w:t>
      </w:r>
      <w:r w:rsidRPr="00542585">
        <w:rPr>
          <w:rFonts w:ascii="Simplified Arabic" w:hAnsi="Simplified Arabic" w:cs="Simplified Arabic"/>
          <w:sz w:val="24"/>
          <w:szCs w:val="24"/>
          <w:rtl/>
          <w:lang w:bidi="ar-DZ"/>
        </w:rPr>
        <w:t>- بشير تاوريريت، محاضرات في مناهج النقد الأدبي المعاصر، ص108.</w:t>
      </w:r>
    </w:p>
  </w:footnote>
  <w:footnote w:id="4">
    <w:p w:rsidR="00BC74FC" w:rsidRPr="00542585" w:rsidRDefault="00BC74FC" w:rsidP="00BC74FC">
      <w:pPr>
        <w:pStyle w:val="Notedebasdepage"/>
        <w:bidi/>
        <w:rPr>
          <w:rFonts w:ascii="Simplified Arabic" w:hAnsi="Simplified Arabic" w:cs="Simplified Arabic"/>
          <w:sz w:val="24"/>
          <w:szCs w:val="24"/>
          <w:rtl/>
          <w:lang w:bidi="ar-DZ"/>
        </w:rPr>
      </w:pPr>
      <w:r w:rsidRPr="00542585">
        <w:rPr>
          <w:rStyle w:val="Appelnotedebasdep"/>
          <w:rFonts w:ascii="Simplified Arabic" w:hAnsi="Simplified Arabic" w:cs="Simplified Arabic"/>
          <w:sz w:val="24"/>
          <w:szCs w:val="24"/>
        </w:rPr>
        <w:footnoteRef/>
      </w:r>
      <w:r w:rsidRPr="00542585">
        <w:rPr>
          <w:rFonts w:ascii="Simplified Arabic" w:hAnsi="Simplified Arabic" w:cs="Simplified Arabic"/>
          <w:sz w:val="24"/>
          <w:szCs w:val="24"/>
        </w:rPr>
        <w:t xml:space="preserve"> </w:t>
      </w:r>
      <w:r w:rsidRPr="00542585">
        <w:rPr>
          <w:rFonts w:ascii="Simplified Arabic" w:hAnsi="Simplified Arabic" w:cs="Simplified Arabic"/>
          <w:sz w:val="24"/>
          <w:szCs w:val="24"/>
          <w:rtl/>
          <w:lang w:bidi="ar-DZ"/>
        </w:rPr>
        <w:t>- المرجع نفسه، ص110.</w:t>
      </w:r>
    </w:p>
  </w:footnote>
  <w:footnote w:id="5">
    <w:p w:rsidR="00542585" w:rsidRDefault="00542585" w:rsidP="00542585">
      <w:pPr>
        <w:pStyle w:val="Notedebasdepage"/>
        <w:bidi/>
        <w:rPr>
          <w:rtl/>
          <w:lang w:bidi="ar-DZ"/>
        </w:rPr>
      </w:pPr>
      <w:r w:rsidRPr="00542585">
        <w:rPr>
          <w:rStyle w:val="Appelnotedebasdep"/>
          <w:rFonts w:ascii="Simplified Arabic" w:hAnsi="Simplified Arabic" w:cs="Simplified Arabic"/>
          <w:sz w:val="24"/>
          <w:szCs w:val="24"/>
        </w:rPr>
        <w:footnoteRef/>
      </w:r>
      <w:r w:rsidRPr="00542585">
        <w:rPr>
          <w:rFonts w:ascii="Simplified Arabic" w:hAnsi="Simplified Arabic" w:cs="Simplified Arabic"/>
          <w:sz w:val="24"/>
          <w:szCs w:val="24"/>
        </w:rPr>
        <w:t xml:space="preserve"> </w:t>
      </w:r>
      <w:r w:rsidRPr="00542585">
        <w:rPr>
          <w:rFonts w:ascii="Simplified Arabic" w:hAnsi="Simplified Arabic" w:cs="Simplified Arabic"/>
          <w:sz w:val="24"/>
          <w:szCs w:val="24"/>
          <w:rtl/>
          <w:lang w:bidi="ar-DZ"/>
        </w:rPr>
        <w:t>- المرجع نفسه، ص110.</w:t>
      </w:r>
    </w:p>
  </w:footnote>
  <w:footnote w:id="6">
    <w:p w:rsidR="00DB4FAD" w:rsidRPr="00AD255C" w:rsidRDefault="00DB4FAD" w:rsidP="00DB4FAD">
      <w:pPr>
        <w:pStyle w:val="Notedebasdepage"/>
        <w:bidi/>
        <w:rPr>
          <w:rFonts w:ascii="Simplified Arabic" w:hAnsi="Simplified Arabic" w:cs="Simplified Arabic"/>
          <w:sz w:val="24"/>
          <w:szCs w:val="24"/>
          <w:rtl/>
          <w:lang w:bidi="ar-DZ"/>
        </w:rPr>
      </w:pPr>
      <w:r w:rsidRPr="00AD255C">
        <w:rPr>
          <w:rStyle w:val="Appelnotedebasdep"/>
          <w:rFonts w:ascii="Simplified Arabic" w:hAnsi="Simplified Arabic" w:cs="Simplified Arabic"/>
          <w:sz w:val="24"/>
          <w:szCs w:val="24"/>
        </w:rPr>
        <w:footnoteRef/>
      </w:r>
      <w:r w:rsidRPr="00AD255C">
        <w:rPr>
          <w:rFonts w:ascii="Simplified Arabic" w:hAnsi="Simplified Arabic" w:cs="Simplified Arabic"/>
          <w:sz w:val="24"/>
          <w:szCs w:val="24"/>
        </w:rPr>
        <w:t xml:space="preserve"> </w:t>
      </w:r>
      <w:r w:rsidRPr="00AD255C">
        <w:rPr>
          <w:rFonts w:ascii="Simplified Arabic" w:hAnsi="Simplified Arabic" w:cs="Simplified Arabic"/>
          <w:sz w:val="24"/>
          <w:szCs w:val="24"/>
          <w:rtl/>
          <w:lang w:bidi="ar-DZ"/>
        </w:rPr>
        <w:t>- المرجع السابق، ص110.</w:t>
      </w:r>
    </w:p>
  </w:footnote>
  <w:footnote w:id="7">
    <w:p w:rsidR="00FC53B0" w:rsidRPr="00AD255C" w:rsidRDefault="00FC53B0" w:rsidP="00FC53B0">
      <w:pPr>
        <w:pStyle w:val="Notedebasdepage"/>
        <w:bidi/>
        <w:rPr>
          <w:rFonts w:ascii="Simplified Arabic" w:hAnsi="Simplified Arabic" w:cs="Simplified Arabic"/>
          <w:sz w:val="24"/>
          <w:szCs w:val="24"/>
          <w:rtl/>
          <w:lang w:bidi="ar-DZ"/>
        </w:rPr>
      </w:pPr>
      <w:r w:rsidRPr="00AD255C">
        <w:rPr>
          <w:rStyle w:val="Appelnotedebasdep"/>
          <w:rFonts w:ascii="Simplified Arabic" w:hAnsi="Simplified Arabic" w:cs="Simplified Arabic"/>
          <w:sz w:val="24"/>
          <w:szCs w:val="24"/>
        </w:rPr>
        <w:footnoteRef/>
      </w:r>
      <w:r w:rsidRPr="00AD255C">
        <w:rPr>
          <w:rFonts w:ascii="Simplified Arabic" w:hAnsi="Simplified Arabic" w:cs="Simplified Arabic"/>
          <w:sz w:val="24"/>
          <w:szCs w:val="24"/>
        </w:rPr>
        <w:t xml:space="preserve"> </w:t>
      </w:r>
      <w:r w:rsidRPr="00AD255C">
        <w:rPr>
          <w:rFonts w:ascii="Simplified Arabic" w:hAnsi="Simplified Arabic" w:cs="Simplified Arabic"/>
          <w:sz w:val="24"/>
          <w:szCs w:val="24"/>
          <w:rtl/>
          <w:lang w:bidi="ar-DZ"/>
        </w:rPr>
        <w:t>- المرجع نفسه، ص115/116.</w:t>
      </w:r>
    </w:p>
  </w:footnote>
  <w:footnote w:id="8">
    <w:p w:rsidR="00F06A2C" w:rsidRPr="00AD255C" w:rsidRDefault="00F06A2C" w:rsidP="00F06A2C">
      <w:pPr>
        <w:pStyle w:val="Notedebasdepage"/>
        <w:bidi/>
        <w:rPr>
          <w:rFonts w:ascii="Simplified Arabic" w:hAnsi="Simplified Arabic" w:cs="Simplified Arabic"/>
          <w:sz w:val="24"/>
          <w:szCs w:val="24"/>
          <w:rtl/>
          <w:lang w:bidi="ar-DZ"/>
        </w:rPr>
      </w:pPr>
      <w:r w:rsidRPr="00AD255C">
        <w:rPr>
          <w:rStyle w:val="Appelnotedebasdep"/>
          <w:rFonts w:ascii="Simplified Arabic" w:hAnsi="Simplified Arabic" w:cs="Simplified Arabic"/>
          <w:sz w:val="24"/>
          <w:szCs w:val="24"/>
        </w:rPr>
        <w:footnoteRef/>
      </w:r>
      <w:r w:rsidRPr="00AD255C">
        <w:rPr>
          <w:rFonts w:ascii="Simplified Arabic" w:hAnsi="Simplified Arabic" w:cs="Simplified Arabic"/>
          <w:sz w:val="24"/>
          <w:szCs w:val="24"/>
        </w:rPr>
        <w:t xml:space="preserve"> </w:t>
      </w:r>
      <w:r w:rsidRPr="00AD255C">
        <w:rPr>
          <w:rFonts w:ascii="Simplified Arabic" w:hAnsi="Simplified Arabic" w:cs="Simplified Arabic"/>
          <w:sz w:val="24"/>
          <w:szCs w:val="24"/>
          <w:rtl/>
          <w:lang w:bidi="ar-DZ"/>
        </w:rPr>
        <w:t>- المرجع نفسه، ص134/135.</w:t>
      </w:r>
    </w:p>
  </w:footnote>
  <w:footnote w:id="9">
    <w:p w:rsidR="00AD255C" w:rsidRPr="00EE2C49" w:rsidRDefault="00AD255C" w:rsidP="00AD255C">
      <w:pPr>
        <w:pStyle w:val="Notedebasdepage"/>
        <w:bidi/>
        <w:rPr>
          <w:rFonts w:ascii="Simplified Arabic" w:hAnsi="Simplified Arabic" w:cs="Simplified Arabic"/>
          <w:sz w:val="24"/>
          <w:szCs w:val="24"/>
          <w:rtl/>
          <w:lang w:bidi="ar-DZ"/>
        </w:rPr>
      </w:pPr>
      <w:r w:rsidRPr="00EE2C49">
        <w:rPr>
          <w:rStyle w:val="Appelnotedebasdep"/>
          <w:rFonts w:ascii="Simplified Arabic" w:hAnsi="Simplified Arabic" w:cs="Simplified Arabic"/>
          <w:sz w:val="24"/>
          <w:szCs w:val="24"/>
        </w:rPr>
        <w:footnoteRef/>
      </w:r>
      <w:r w:rsidRPr="00EE2C49">
        <w:rPr>
          <w:rFonts w:ascii="Simplified Arabic" w:hAnsi="Simplified Arabic" w:cs="Simplified Arabic"/>
          <w:sz w:val="24"/>
          <w:szCs w:val="24"/>
        </w:rPr>
        <w:t xml:space="preserve"> </w:t>
      </w:r>
      <w:r w:rsidRPr="00EE2C49">
        <w:rPr>
          <w:rFonts w:ascii="Simplified Arabic" w:hAnsi="Simplified Arabic" w:cs="Simplified Arabic"/>
          <w:sz w:val="24"/>
          <w:szCs w:val="24"/>
          <w:rtl/>
          <w:lang w:bidi="ar-DZ"/>
        </w:rPr>
        <w:t>- المرجع نفسه، ص135.</w:t>
      </w:r>
    </w:p>
  </w:footnote>
  <w:footnote w:id="10">
    <w:p w:rsidR="00EE2C49" w:rsidRDefault="00EE2C49" w:rsidP="00EE2C49">
      <w:pPr>
        <w:pStyle w:val="Notedebasdepage"/>
        <w:bidi/>
        <w:rPr>
          <w:rtl/>
          <w:lang w:bidi="ar-DZ"/>
        </w:rPr>
      </w:pPr>
      <w:r w:rsidRPr="00EE2C49">
        <w:rPr>
          <w:rStyle w:val="Appelnotedebasdep"/>
          <w:rFonts w:ascii="Simplified Arabic" w:hAnsi="Simplified Arabic" w:cs="Simplified Arabic"/>
          <w:sz w:val="24"/>
          <w:szCs w:val="24"/>
        </w:rPr>
        <w:footnoteRef/>
      </w:r>
      <w:r w:rsidRPr="00EE2C49">
        <w:rPr>
          <w:rFonts w:ascii="Simplified Arabic" w:hAnsi="Simplified Arabic" w:cs="Simplified Arabic"/>
          <w:sz w:val="24"/>
          <w:szCs w:val="24"/>
        </w:rPr>
        <w:t xml:space="preserve"> </w:t>
      </w:r>
      <w:r w:rsidRPr="00EE2C49">
        <w:rPr>
          <w:rFonts w:ascii="Simplified Arabic" w:hAnsi="Simplified Arabic" w:cs="Simplified Arabic"/>
          <w:sz w:val="24"/>
          <w:szCs w:val="24"/>
          <w:rtl/>
          <w:lang w:bidi="ar-DZ"/>
        </w:rPr>
        <w:t>- المرجع نفسه، ص135/136.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122"/>
    <o:shapelayout v:ext="edit">
      <o:idmap v:ext="edit" data="2"/>
    </o:shapelayout>
  </w:hdrShapeDefaults>
  <w:footnotePr>
    <w:numRestart w:val="eachPage"/>
    <w:footnote w:id="0"/>
    <w:footnote w:id="1"/>
  </w:footnotePr>
  <w:endnotePr>
    <w:endnote w:id="0"/>
    <w:endnote w:id="1"/>
  </w:endnotePr>
  <w:compat>
    <w:useFELayout/>
  </w:compat>
  <w:rsids>
    <w:rsidRoot w:val="00724001"/>
    <w:rsid w:val="000A5F63"/>
    <w:rsid w:val="000D7A70"/>
    <w:rsid w:val="001742CE"/>
    <w:rsid w:val="002F3FFA"/>
    <w:rsid w:val="004562BA"/>
    <w:rsid w:val="004824F4"/>
    <w:rsid w:val="004B08C2"/>
    <w:rsid w:val="0053578C"/>
    <w:rsid w:val="00542585"/>
    <w:rsid w:val="0061609E"/>
    <w:rsid w:val="0062535B"/>
    <w:rsid w:val="00625792"/>
    <w:rsid w:val="006A2F7D"/>
    <w:rsid w:val="00724001"/>
    <w:rsid w:val="00792250"/>
    <w:rsid w:val="007B6110"/>
    <w:rsid w:val="007D4C2E"/>
    <w:rsid w:val="008745FF"/>
    <w:rsid w:val="008B7DC2"/>
    <w:rsid w:val="009E68CE"/>
    <w:rsid w:val="00A65B7C"/>
    <w:rsid w:val="00AD255C"/>
    <w:rsid w:val="00AE3DC1"/>
    <w:rsid w:val="00B23641"/>
    <w:rsid w:val="00BC74FC"/>
    <w:rsid w:val="00C26436"/>
    <w:rsid w:val="00C40251"/>
    <w:rsid w:val="00C86F8D"/>
    <w:rsid w:val="00CD35AF"/>
    <w:rsid w:val="00DA2FDC"/>
    <w:rsid w:val="00DB4FAD"/>
    <w:rsid w:val="00DC2253"/>
    <w:rsid w:val="00DE42D4"/>
    <w:rsid w:val="00DF20B5"/>
    <w:rsid w:val="00E17FE0"/>
    <w:rsid w:val="00E56618"/>
    <w:rsid w:val="00EE2C49"/>
    <w:rsid w:val="00F02FDC"/>
    <w:rsid w:val="00F06A2C"/>
    <w:rsid w:val="00F317DB"/>
    <w:rsid w:val="00FC53B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40251"/>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40251"/>
  </w:style>
  <w:style w:type="paragraph" w:styleId="Pieddepage">
    <w:name w:val="footer"/>
    <w:basedOn w:val="Normal"/>
    <w:link w:val="PieddepageCar"/>
    <w:uiPriority w:val="99"/>
    <w:semiHidden/>
    <w:unhideWhenUsed/>
    <w:rsid w:val="00C40251"/>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40251"/>
  </w:style>
  <w:style w:type="paragraph" w:styleId="Notedebasdepage">
    <w:name w:val="footnote text"/>
    <w:basedOn w:val="Normal"/>
    <w:link w:val="NotedebasdepageCar"/>
    <w:uiPriority w:val="99"/>
    <w:semiHidden/>
    <w:unhideWhenUsed/>
    <w:rsid w:val="0079225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92250"/>
    <w:rPr>
      <w:sz w:val="20"/>
      <w:szCs w:val="20"/>
    </w:rPr>
  </w:style>
  <w:style w:type="character" w:styleId="Appelnotedebasdep">
    <w:name w:val="footnote reference"/>
    <w:basedOn w:val="Policepardfaut"/>
    <w:uiPriority w:val="99"/>
    <w:semiHidden/>
    <w:unhideWhenUsed/>
    <w:rsid w:val="00792250"/>
    <w:rPr>
      <w:vertAlign w:val="superscript"/>
    </w:rPr>
  </w:style>
  <w:style w:type="paragraph" w:styleId="Textedebulles">
    <w:name w:val="Balloon Text"/>
    <w:basedOn w:val="Normal"/>
    <w:link w:val="TextedebullesCar"/>
    <w:uiPriority w:val="99"/>
    <w:semiHidden/>
    <w:unhideWhenUsed/>
    <w:rsid w:val="007B61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6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A7029-B6E2-4762-9412-E68FF91D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492</Words>
  <Characters>2710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37</cp:revision>
  <dcterms:created xsi:type="dcterms:W3CDTF">2022-08-07T12:23:00Z</dcterms:created>
  <dcterms:modified xsi:type="dcterms:W3CDTF">2022-10-19T19:55:00Z</dcterms:modified>
</cp:coreProperties>
</file>