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AB" w:rsidRDefault="00A12E20" w:rsidP="00A12E20">
      <w:pPr>
        <w:jc w:val="center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محاضرة 5 </w:t>
      </w:r>
    </w:p>
    <w:p w:rsidR="00A12E20" w:rsidRPr="004240AF" w:rsidRDefault="00A12E20" w:rsidP="00A12E20">
      <w:pPr>
        <w:bidi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b/>
          <w:bCs/>
          <w:sz w:val="32"/>
          <w:szCs w:val="32"/>
          <w:rtl/>
        </w:rPr>
        <w:t>3 : الطـقوس الجنـائزيـة :</w:t>
      </w:r>
    </w:p>
    <w:p w:rsidR="00A12E20" w:rsidRPr="004240AF" w:rsidRDefault="00A12E20" w:rsidP="00A12E20">
      <w:pPr>
        <w:pStyle w:val="Titre1"/>
        <w:jc w:val="both"/>
        <w:rPr>
          <w:rFonts w:ascii="Sakkal Majalla" w:hAnsi="Sakkal Majalla" w:cs="Sakkal Majalla"/>
          <w:sz w:val="32"/>
          <w:szCs w:val="32"/>
        </w:rPr>
      </w:pPr>
      <w:r w:rsidRPr="004240AF">
        <w:rPr>
          <w:rFonts w:hint="cs"/>
          <w:sz w:val="32"/>
          <w:szCs w:val="32"/>
          <w:rtl/>
        </w:rPr>
        <w:t xml:space="preserve">       </w:t>
      </w:r>
      <w:r w:rsidRPr="004240AF">
        <w:rPr>
          <w:rFonts w:ascii="Sakkal Majalla" w:hAnsi="Sakkal Majalla" w:cs="Sakkal Majalla"/>
          <w:sz w:val="32"/>
          <w:szCs w:val="32"/>
          <w:rtl/>
        </w:rPr>
        <w:t>تمثّل الطقوس الجنائزية مصدرا أساسيا لدراسة الجانب الديني بالمغرب القديم لانعدام الشواهد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>الكتابية المتعلقة بفترة ما قبل التاريخ و فجر التاريخ ، فدراستها تسمح بالاطلاع على معتقداته لكن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>الاعتماد على  البقايا المادية بمفردها قد</w:t>
      </w:r>
      <w:r>
        <w:rPr>
          <w:rFonts w:ascii="Sakkal Majalla" w:hAnsi="Sakkal Majalla" w:cs="Sakkal Majalla"/>
          <w:sz w:val="32"/>
          <w:szCs w:val="32"/>
          <w:rtl/>
        </w:rPr>
        <w:t xml:space="preserve"> يؤدي إلى ال</w:t>
      </w:r>
      <w:r>
        <w:rPr>
          <w:rFonts w:ascii="Sakkal Majalla" w:hAnsi="Sakkal Majalla" w:cs="Sakkal Majalla" w:hint="cs"/>
          <w:sz w:val="32"/>
          <w:szCs w:val="32"/>
          <w:rtl/>
        </w:rPr>
        <w:t>إ</w:t>
      </w:r>
      <w:r w:rsidRPr="004240AF">
        <w:rPr>
          <w:rFonts w:ascii="Sakkal Majalla" w:hAnsi="Sakkal Majalla" w:cs="Sakkal Majalla"/>
          <w:sz w:val="32"/>
          <w:szCs w:val="32"/>
          <w:rtl/>
        </w:rPr>
        <w:t>بت</w:t>
      </w:r>
      <w:r w:rsidRPr="004240AF">
        <w:rPr>
          <w:rFonts w:ascii="Sakkal Majalla" w:hAnsi="Sakkal Majalla" w:cs="Sakkal Majalla"/>
          <w:sz w:val="32"/>
          <w:szCs w:val="32"/>
          <w:rtl/>
          <w:lang w:bidi="ar-DZ"/>
        </w:rPr>
        <w:t>ـ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عاد عن الحقيقة و إعطاء صورة مغايرة عن 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معتقدات إنسان المنطقة 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(1)</w:t>
      </w:r>
      <w:r w:rsidRPr="004240AF">
        <w:rPr>
          <w:rFonts w:ascii="Sakkal Majalla" w:hAnsi="Sakkal Majalla" w:cs="Sakkal Majalla"/>
          <w:sz w:val="32"/>
          <w:szCs w:val="32"/>
          <w:rtl/>
        </w:rPr>
        <w:t>.</w:t>
      </w:r>
    </w:p>
    <w:p w:rsidR="00A12E20" w:rsidRPr="004240AF" w:rsidRDefault="00A12E20" w:rsidP="00A12E20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 xml:space="preserve">    ونقصد بالطقوس الجنائزية كل ما يدخل ضمن دائرة التعامل مع الأموات ، من حيث طرق الدفن 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</w:t>
      </w:r>
      <w:r w:rsidRPr="004240AF">
        <w:rPr>
          <w:rFonts w:ascii="Sakkal Majalla" w:hAnsi="Sakkal Majalla" w:cs="Sakkal Majalla"/>
          <w:sz w:val="32"/>
          <w:szCs w:val="32"/>
          <w:rtl/>
        </w:rPr>
        <w:t>و كيفياته ووضعياته ، إلى جانب الأثاث الجنائزي ، ومكانة الأموات ،و مجموع الأعمال المتعلقة بهم  و التي يقـوم بها الأحيـاء عن قصد ، و الـتي تدل على أنهم يمـيّزون من خلالها بينهم و بين بقية الحيوانات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  <w:lang w:bidi="ar-DZ"/>
        </w:rPr>
        <w:t>(2)</w:t>
      </w:r>
      <w:r w:rsidRPr="004240AF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A12E20" w:rsidRPr="004240AF" w:rsidRDefault="00A12E20" w:rsidP="00A12E20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 xml:space="preserve">     تعود البدايات الأولى لاهتمام الإنسان بصفة عامة بهذا الجانب إلى إنسـان نياندارتال العائد الى العصر الحجري القديم الأوسط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(3)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، إلا أن الجانب العقدي لا يتضح من خلال دراستها إلا 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ابتداء  </w:t>
      </w:r>
      <w:r w:rsidRPr="004240AF">
        <w:rPr>
          <w:rFonts w:ascii="Sakkal Majalla" w:hAnsi="Sakkal Majalla" w:cs="Sakkal Majalla"/>
          <w:sz w:val="32"/>
          <w:szCs w:val="32"/>
          <w:rtl/>
        </w:rPr>
        <w:t>من العصر الحجري الحديث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(4)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.</w:t>
      </w:r>
    </w:p>
    <w:p w:rsidR="00A12E20" w:rsidRPr="004240AF" w:rsidRDefault="00A12E20" w:rsidP="00A12E20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 xml:space="preserve">      و يظهر من دراسة بقايا المدافن أن إنسان المغرب القديم قد مارس الدفن في أنواع عديدة من القبور ،منها المحلية 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الأصل 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 xml:space="preserve">(5)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، و منها 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الوافدة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التي عرفها المغاربة القدماء بواسطة الاتصالات التي كانت تتـم مع مناطق أخرى كالدولمن 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</w:rPr>
        <w:t>( Dolmens)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و الحوانيت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(6)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. </w:t>
      </w:r>
    </w:p>
    <w:p w:rsidR="00A12E20" w:rsidRPr="003209D7" w:rsidRDefault="00A12E20" w:rsidP="00A12E20">
      <w:pPr>
        <w:tabs>
          <w:tab w:val="left" w:pos="1218"/>
        </w:tabs>
        <w:bidi/>
        <w:spacing w:after="0" w:line="240" w:lineRule="auto"/>
        <w:rPr>
          <w:rFonts w:cs="Traditional Arabic"/>
          <w:szCs w:val="36"/>
          <w:rtl/>
        </w:rPr>
      </w:pPr>
      <w:r w:rsidRPr="003209D7">
        <w:rPr>
          <w:rFonts w:cs="Traditional Arabic" w:hint="cs"/>
          <w:szCs w:val="36"/>
          <w:rtl/>
        </w:rPr>
        <w:t>ـــــــــــــــــــــــ</w:t>
      </w:r>
      <w:r>
        <w:rPr>
          <w:rFonts w:cs="Traditional Arabic" w:hint="cs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12E20" w:rsidRPr="003209D7" w:rsidRDefault="00A12E20" w:rsidP="00A12E20">
      <w:pPr>
        <w:bidi/>
        <w:spacing w:after="0" w:line="240" w:lineRule="auto"/>
        <w:rPr>
          <w:rFonts w:cs="Traditional Arabic"/>
        </w:rPr>
      </w:pPr>
      <w:r w:rsidRPr="003209D7">
        <w:rPr>
          <w:rFonts w:cs="Traditional Arabic" w:hint="cs"/>
          <w:rtl/>
          <w:lang w:bidi="ar-DZ"/>
        </w:rPr>
        <w:t>(1)</w:t>
      </w:r>
      <w:r w:rsidRPr="003209D7">
        <w:rPr>
          <w:rFonts w:cs="Traditional Arabic"/>
        </w:rPr>
        <w:t xml:space="preserve"> - Camps ( G. ) , Monuments et rites … , P. 461.                   </w:t>
      </w:r>
      <w:r>
        <w:rPr>
          <w:rFonts w:cs="Traditional Arabic"/>
        </w:rPr>
        <w:t xml:space="preserve">                    </w:t>
      </w:r>
      <w:r w:rsidRPr="003209D7">
        <w:rPr>
          <w:rFonts w:cs="Traditional Arabic"/>
        </w:rPr>
        <w:t xml:space="preserve">                                                       </w:t>
      </w:r>
      <w:r w:rsidRPr="003209D7">
        <w:rPr>
          <w:rFonts w:cs="Traditional Arabic" w:hint="cs"/>
          <w:rtl/>
        </w:rPr>
        <w:t xml:space="preserve"> </w:t>
      </w:r>
      <w:r w:rsidRPr="003209D7">
        <w:rPr>
          <w:rFonts w:cs="Traditional Arabic"/>
        </w:rPr>
        <w:t xml:space="preserve">     </w:t>
      </w:r>
      <w:r w:rsidRPr="003209D7">
        <w:rPr>
          <w:rFonts w:cs="Traditional Arabic" w:hint="cs"/>
          <w:rtl/>
        </w:rPr>
        <w:t xml:space="preserve"> </w:t>
      </w:r>
    </w:p>
    <w:p w:rsidR="00A12E20" w:rsidRPr="003209D7" w:rsidRDefault="00A12E20" w:rsidP="00A12E20">
      <w:pPr>
        <w:bidi/>
        <w:spacing w:after="0" w:line="240" w:lineRule="auto"/>
        <w:rPr>
          <w:rFonts w:cs="Traditional Arabic"/>
        </w:rPr>
      </w:pPr>
      <w:r w:rsidRPr="003A68D5">
        <w:rPr>
          <w:rFonts w:ascii="Sakkal Majalla" w:hAnsi="Sakkal Majalla" w:cs="Sakkal Majalla"/>
          <w:rtl/>
        </w:rPr>
        <w:t>(2)</w:t>
      </w:r>
      <w:r w:rsidRPr="003209D7">
        <w:rPr>
          <w:rFonts w:cs="Traditional Arabic" w:hint="cs"/>
          <w:rtl/>
        </w:rPr>
        <w:t xml:space="preserve"> </w:t>
      </w:r>
      <w:r w:rsidRPr="003209D7">
        <w:rPr>
          <w:rFonts w:cs="Traditional Arabic"/>
        </w:rPr>
        <w:t>- Luquet( G. Ch) , Op - Cit</w:t>
      </w:r>
      <w:r>
        <w:rPr>
          <w:rFonts w:cs="Traditional Arabic"/>
        </w:rPr>
        <w:t>.</w:t>
      </w:r>
      <w:r w:rsidRPr="003209D7">
        <w:rPr>
          <w:rFonts w:cs="Traditional Arabic"/>
        </w:rPr>
        <w:t xml:space="preserve"> , P. 171 .        </w:t>
      </w:r>
      <w:r>
        <w:rPr>
          <w:rFonts w:cs="Traditional Arabic"/>
        </w:rPr>
        <w:t xml:space="preserve">                       </w:t>
      </w:r>
      <w:r w:rsidRPr="003209D7">
        <w:rPr>
          <w:rFonts w:cs="Traditional Arabic"/>
        </w:rPr>
        <w:t xml:space="preserve">                                                                                   </w:t>
      </w:r>
    </w:p>
    <w:p w:rsidR="00A12E20" w:rsidRPr="00986154" w:rsidRDefault="00A12E20" w:rsidP="00A12E20">
      <w:pPr>
        <w:bidi/>
        <w:spacing w:after="0" w:line="240" w:lineRule="auto"/>
        <w:rPr>
          <w:rFonts w:ascii="Sakkal Majalla" w:hAnsi="Sakkal Majalla" w:cs="Sakkal Majalla"/>
          <w:rtl/>
        </w:rPr>
      </w:pPr>
      <w:r w:rsidRPr="00986154">
        <w:rPr>
          <w:rFonts w:ascii="Sakkal Majalla" w:hAnsi="Sakkal Majalla" w:cs="Sakkal Majalla"/>
          <w:rtl/>
        </w:rPr>
        <w:t xml:space="preserve">(3) لم يوجد أي دليل حتى الآن على وجود ممارسات جنائزية تعود للفترة الشيلية و الأشولية أي للعصر الحجري القديم الأسفل . لمزيد من  </w:t>
      </w:r>
    </w:p>
    <w:p w:rsidR="00A12E20" w:rsidRPr="00986154" w:rsidRDefault="00A12E20" w:rsidP="00A12E20">
      <w:pPr>
        <w:bidi/>
        <w:spacing w:after="0" w:line="240" w:lineRule="auto"/>
        <w:rPr>
          <w:rFonts w:ascii="Sakkal Majalla" w:hAnsi="Sakkal Majalla" w:cs="Sakkal Majalla"/>
          <w:rtl/>
        </w:rPr>
      </w:pPr>
      <w:r w:rsidRPr="00986154">
        <w:rPr>
          <w:rFonts w:ascii="Sakkal Majalla" w:hAnsi="Sakkal Majalla" w:cs="Sakkal Majalla"/>
          <w:rtl/>
        </w:rPr>
        <w:t xml:space="preserve">     المعلومات انظر : السواح فراس ، دين الإنسان ... ، ص ص . 124 - 136 . </w:t>
      </w:r>
    </w:p>
    <w:p w:rsidR="00A12E20" w:rsidRPr="00986154" w:rsidRDefault="00A12E20" w:rsidP="00A12E20">
      <w:pPr>
        <w:bidi/>
        <w:spacing w:after="0" w:line="240" w:lineRule="auto"/>
        <w:rPr>
          <w:rFonts w:ascii="Sakkal Majalla" w:hAnsi="Sakkal Majalla" w:cs="Sakkal Majalla"/>
          <w:rtl/>
        </w:rPr>
      </w:pPr>
      <w:r w:rsidRPr="00986154">
        <w:rPr>
          <w:rFonts w:ascii="Sakkal Majalla" w:hAnsi="Sakkal Majalla" w:cs="Sakkal Majalla"/>
          <w:rtl/>
        </w:rPr>
        <w:t>(4) الناضوري رسيد ، المدخل في التطور التاريخي ... ، ص .32 .</w:t>
      </w:r>
    </w:p>
    <w:p w:rsidR="00A12E20" w:rsidRPr="00986154" w:rsidRDefault="00A12E20" w:rsidP="00A12E20">
      <w:pPr>
        <w:tabs>
          <w:tab w:val="left" w:pos="1218"/>
        </w:tabs>
        <w:bidi/>
        <w:spacing w:after="0" w:line="240" w:lineRule="auto"/>
        <w:rPr>
          <w:rFonts w:ascii="Sakkal Majalla" w:hAnsi="Sakkal Majalla" w:cs="Sakkal Majalla"/>
          <w:rtl/>
          <w:lang w:bidi="ar-DZ"/>
        </w:rPr>
      </w:pPr>
      <w:r w:rsidRPr="00986154">
        <w:rPr>
          <w:rFonts w:ascii="Sakkal Majalla" w:hAnsi="Sakkal Majalla" w:cs="Sakkal Majalla"/>
          <w:rtl/>
        </w:rPr>
        <w:t xml:space="preserve">(5) وهي متنوعة منها: </w:t>
      </w:r>
      <w:r w:rsidRPr="00986154">
        <w:rPr>
          <w:rFonts w:ascii="Sakkal Majalla" w:hAnsi="Sakkal Majalla" w:cs="Sakkal Majalla"/>
          <w:rtl/>
          <w:lang w:bidi="ar-DZ"/>
        </w:rPr>
        <w:t xml:space="preserve"> الكهوف الطبيعية و هي  التي سكنها الإنسان دون أن يقوم بأي تغيير فيها من الداخل ، أما الاصطناعية فهي التي  حوّر         </w:t>
      </w:r>
    </w:p>
    <w:p w:rsidR="00A12E20" w:rsidRPr="00986154" w:rsidRDefault="00A12E20" w:rsidP="00A12E20">
      <w:pPr>
        <w:tabs>
          <w:tab w:val="left" w:pos="1218"/>
        </w:tabs>
        <w:bidi/>
        <w:spacing w:after="0" w:line="240" w:lineRule="auto"/>
        <w:rPr>
          <w:rFonts w:ascii="Sakkal Majalla" w:hAnsi="Sakkal Majalla" w:cs="Sakkal Majalla"/>
          <w:rtl/>
          <w:lang w:bidi="ar-DZ"/>
        </w:rPr>
      </w:pPr>
      <w:r w:rsidRPr="00986154">
        <w:rPr>
          <w:rFonts w:ascii="Sakkal Majalla" w:hAnsi="Sakkal Majalla" w:cs="Sakkal Majalla"/>
          <w:rtl/>
        </w:rPr>
        <w:t xml:space="preserve">     الإنسان شكلها الداخلي ، ويعرف نوع آخر منها بالتيميلوس </w:t>
      </w:r>
      <w:r w:rsidRPr="00986154">
        <w:rPr>
          <w:rFonts w:ascii="Sakkal Majalla" w:hAnsi="Sakkal Majalla" w:cs="Sakkal Majalla"/>
        </w:rPr>
        <w:t>( Tumulus )</w:t>
      </w:r>
      <w:r w:rsidRPr="00986154">
        <w:rPr>
          <w:rFonts w:ascii="Sakkal Majalla" w:hAnsi="Sakkal Majalla" w:cs="Sakkal Majalla"/>
          <w:rtl/>
          <w:lang w:bidi="ar-DZ"/>
        </w:rPr>
        <w:t xml:space="preserve"> و له أسماء أخرى منها الرجم و الكركور ، و هذا النوع عبارة </w:t>
      </w:r>
    </w:p>
    <w:p w:rsidR="00A12E20" w:rsidRPr="00986154" w:rsidRDefault="00A12E20" w:rsidP="00A12E20">
      <w:pPr>
        <w:tabs>
          <w:tab w:val="left" w:pos="1218"/>
        </w:tabs>
        <w:bidi/>
        <w:spacing w:after="0" w:line="240" w:lineRule="auto"/>
        <w:rPr>
          <w:rFonts w:ascii="Sakkal Majalla" w:hAnsi="Sakkal Majalla" w:cs="Sakkal Majalla"/>
          <w:rtl/>
          <w:lang w:bidi="ar-DZ"/>
        </w:rPr>
      </w:pPr>
      <w:r w:rsidRPr="00986154">
        <w:rPr>
          <w:rFonts w:ascii="Sakkal Majalla" w:hAnsi="Sakkal Majalla" w:cs="Sakkal Majalla"/>
          <w:rtl/>
          <w:lang w:bidi="ar-DZ"/>
        </w:rPr>
        <w:t xml:space="preserve">   عن قبور</w:t>
      </w:r>
      <w:r>
        <w:rPr>
          <w:rFonts w:ascii="Sakkal Majalla" w:hAnsi="Sakkal Majalla" w:cs="Sakkal Majalla" w:hint="cs"/>
          <w:rtl/>
          <w:lang w:bidi="ar-DZ"/>
        </w:rPr>
        <w:t xml:space="preserve"> </w:t>
      </w:r>
      <w:r w:rsidRPr="00986154">
        <w:rPr>
          <w:rFonts w:ascii="Sakkal Majalla" w:hAnsi="Sakkal Majalla" w:cs="Sakkal Majalla"/>
          <w:rtl/>
          <w:lang w:bidi="ar-DZ"/>
        </w:rPr>
        <w:t xml:space="preserve">مخروطية الشكل و هو الأكثر انتشارا ، أما النوع الثالث منها فيعرف بالبازيناس </w:t>
      </w:r>
      <w:r w:rsidRPr="00986154">
        <w:rPr>
          <w:rFonts w:ascii="Sakkal Majalla" w:hAnsi="Sakkal Majalla" w:cs="Sakkal Majalla"/>
          <w:lang w:bidi="ar-DZ"/>
        </w:rPr>
        <w:t>( Basinas )</w:t>
      </w:r>
      <w:r w:rsidRPr="00986154">
        <w:rPr>
          <w:rFonts w:ascii="Sakkal Majalla" w:hAnsi="Sakkal Majalla" w:cs="Sakkal Majalla"/>
          <w:rtl/>
          <w:lang w:bidi="ar-DZ"/>
        </w:rPr>
        <w:t xml:space="preserve"> و هو قبور مستديرة عليها قباب مبنية بالحجارة أو معها الأتربة ، تظهر على شكل أكمات ، و يسمى نوع آخر منها بقبور الشوشة </w:t>
      </w:r>
      <w:r w:rsidRPr="00986154">
        <w:rPr>
          <w:rFonts w:ascii="Sakkal Majalla" w:hAnsi="Sakkal Majalla" w:cs="Sakkal Majalla"/>
          <w:lang w:bidi="ar-DZ"/>
        </w:rPr>
        <w:t>( Chouchets )</w:t>
      </w:r>
      <w:r w:rsidRPr="00986154">
        <w:rPr>
          <w:rFonts w:ascii="Sakkal Majalla" w:hAnsi="Sakkal Majalla" w:cs="Sakkal Majalla"/>
          <w:rtl/>
          <w:lang w:bidi="ar-DZ"/>
        </w:rPr>
        <w:t xml:space="preserve"> و هي تشبه البازيناس لكنها تختلف    عنها  من حيث شكلها الخارجي الذي يكون أسطوانيا ، و لا تحتوي في الغالب إلا جثة واحدة . غانم محمد الصغير ، معالم التواجد الفينيفي ... ،  ص - ص . 7 – 16 .  </w:t>
      </w:r>
    </w:p>
    <w:p w:rsidR="00A12E20" w:rsidRPr="00986154" w:rsidRDefault="00A12E20" w:rsidP="00A12E20">
      <w:pPr>
        <w:tabs>
          <w:tab w:val="left" w:pos="1218"/>
        </w:tabs>
        <w:bidi/>
        <w:spacing w:after="0" w:line="240" w:lineRule="auto"/>
        <w:rPr>
          <w:rFonts w:ascii="Sakkal Majalla" w:hAnsi="Sakkal Majalla" w:cs="Sakkal Majalla"/>
          <w:rtl/>
          <w:lang w:bidi="ar-DZ"/>
        </w:rPr>
      </w:pPr>
      <w:r w:rsidRPr="00986154">
        <w:rPr>
          <w:rFonts w:ascii="Sakkal Majalla" w:hAnsi="Sakkal Majalla" w:cs="Sakkal Majalla"/>
          <w:rtl/>
        </w:rPr>
        <w:t>(6)</w:t>
      </w:r>
      <w:r w:rsidRPr="00986154">
        <w:rPr>
          <w:rFonts w:ascii="Sakkal Majalla" w:hAnsi="Sakkal Majalla" w:cs="Sakkal Majalla"/>
          <w:rtl/>
          <w:lang w:bidi="ar-DZ"/>
        </w:rPr>
        <w:t xml:space="preserve"> الدولمن : تسمى كذلك القبور المنضدية ، و هي قبور حجرية بنيت فوق سطح الأرض تتكون في الغالب من ثلاثة أعمدة حجرية قصيرة تعلوها حجرة </w:t>
      </w:r>
      <w:r w:rsidRPr="00986154">
        <w:rPr>
          <w:rFonts w:ascii="Sakkal Majalla" w:hAnsi="Sakkal Majalla" w:cs="Sakkal Majalla"/>
          <w:rtl/>
        </w:rPr>
        <w:t xml:space="preserve">  مدت في شكل أفقي ، أما الحوانيت فهي غرف صغيرة نحتت في واجهات المرتفعات الجبلية و الصخور المنعزلة ، مكعبة الشكل و لها فتحات صغيرة استعملت للدفن الفردي ، و أخذت هذا الإسم لأنها تسبه غرف المتاجر الصغيرة . نفسـه ، ص . 29 .</w:t>
      </w:r>
    </w:p>
    <w:p w:rsidR="00A12E20" w:rsidRDefault="00A12E20" w:rsidP="00A12E20">
      <w:pPr>
        <w:tabs>
          <w:tab w:val="left" w:pos="1218"/>
        </w:tabs>
        <w:bidi/>
        <w:spacing w:after="0" w:line="240" w:lineRule="auto"/>
        <w:rPr>
          <w:rFonts w:cs="Traditional Arabic"/>
          <w:rtl/>
        </w:rPr>
      </w:pPr>
    </w:p>
    <w:p w:rsidR="00A12E20" w:rsidRDefault="00A12E20" w:rsidP="00A12E20">
      <w:pPr>
        <w:tabs>
          <w:tab w:val="left" w:pos="1218"/>
        </w:tabs>
        <w:bidi/>
        <w:spacing w:line="240" w:lineRule="auto"/>
        <w:rPr>
          <w:rFonts w:cs="Traditional Arabic"/>
          <w:rtl/>
        </w:rPr>
      </w:pPr>
    </w:p>
    <w:p w:rsidR="00A12E20" w:rsidRDefault="00A12E20" w:rsidP="00A12E20">
      <w:pPr>
        <w:tabs>
          <w:tab w:val="left" w:pos="1218"/>
        </w:tabs>
        <w:bidi/>
        <w:spacing w:line="240" w:lineRule="auto"/>
        <w:rPr>
          <w:rFonts w:cs="Traditional Arabic"/>
          <w:rtl/>
        </w:rPr>
      </w:pPr>
    </w:p>
    <w:p w:rsidR="00A12E20" w:rsidRPr="003209D7" w:rsidRDefault="00A12E20" w:rsidP="00A12E20">
      <w:pPr>
        <w:tabs>
          <w:tab w:val="left" w:pos="1218"/>
        </w:tabs>
        <w:bidi/>
        <w:rPr>
          <w:rFonts w:cs="Traditional Arabic" w:hint="cs"/>
          <w:rtl/>
          <w:lang w:bidi="ar-DZ"/>
        </w:rPr>
      </w:pPr>
    </w:p>
    <w:p w:rsidR="00A12E20" w:rsidRPr="004240AF" w:rsidRDefault="00A12E20" w:rsidP="00A12E20">
      <w:pPr>
        <w:tabs>
          <w:tab w:val="left" w:pos="1076"/>
        </w:tabs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lastRenderedPageBreak/>
        <w:t xml:space="preserve">      و بصفة عامة فقد عرفت الطقوس الجنائزية  تطورا بطيئا و هي تستعصي على كل ترتـيب تأريخي ، كما أن تنوعها بين مناطق المغرب القديم قد يعود إلى عوامل جغرافية أو إثنيـة و يرى ج.  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>كامبس أنها تنقسم إلى ثلاثة مجموعات ليبية :  هي: الجيتول و الموريين و النوميديين ، لكن الحدود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بين أنواع الممارسات الجنائزية غير واضحة ، فلا تنفرد أي منطقة بطقوس خاصة بها تماما ، فالتنوّع هنا يخفي الوحدة 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(1)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A12E20" w:rsidRPr="004240AF" w:rsidRDefault="00A12E20" w:rsidP="00A12E20">
      <w:pPr>
        <w:tabs>
          <w:tab w:val="left" w:pos="1218"/>
        </w:tabs>
        <w:bidi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أ - وضـعيـات الدفـن :    </w:t>
      </w:r>
    </w:p>
    <w:p w:rsidR="00A12E20" w:rsidRPr="004240AF" w:rsidRDefault="00A12E20" w:rsidP="00A12E20">
      <w:pPr>
        <w:pStyle w:val="Titre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 xml:space="preserve">     لقد سمح التنقيب الأثري في المدافن بأنواعها المختلفة باكتشاف وضعيات و طرق عديدة دفن بها المغاربة القدماء موتاهم ، ومنها : </w:t>
      </w:r>
    </w:p>
    <w:p w:rsidR="00A12E20" w:rsidRPr="004240AF" w:rsidRDefault="00A12E20" w:rsidP="00A12E20">
      <w:pPr>
        <w:tabs>
          <w:tab w:val="left" w:pos="1218"/>
        </w:tabs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 xml:space="preserve"> الوضعية الممدة : يمدد فيها الميت على جانبه الأيمن أو الأيسر أو ظهره ، وتعتـبر هذه الوضعية الأقل انتشارا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(2)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، و يكثر تواجدها في تونس و شرق الجزائر ، و يستبعد أن تكون مأخوذة من الفينيقيين أو الإغريق أو الرومان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(3)</w:t>
      </w:r>
      <w:r w:rsidRPr="004240AF">
        <w:rPr>
          <w:rFonts w:ascii="Sakkal Majalla" w:hAnsi="Sakkal Majalla" w:cs="Sakkal Majalla"/>
          <w:sz w:val="32"/>
          <w:szCs w:val="32"/>
          <w:rtl/>
        </w:rPr>
        <w:t>، و يكون وجه الميت موجـها في بعض الحالات نحو الشرق كما هو الحال في العديد من قبورالبازيناس العائدة لفجر التاريخ و ال</w:t>
      </w:r>
      <w:r w:rsidRPr="004240AF">
        <w:rPr>
          <w:rFonts w:ascii="Sakkal Majalla" w:hAnsi="Sakkal Majalla" w:cs="Sakkal Majalla"/>
          <w:sz w:val="32"/>
          <w:szCs w:val="32"/>
          <w:rtl/>
          <w:lang w:bidi="ar-DZ"/>
        </w:rPr>
        <w:t>م</w:t>
      </w:r>
      <w:r w:rsidRPr="004240AF">
        <w:rPr>
          <w:rFonts w:ascii="Sakkal Majalla" w:hAnsi="Sakkal Majalla" w:cs="Sakkal Majalla"/>
          <w:sz w:val="32"/>
          <w:szCs w:val="32"/>
          <w:rtl/>
        </w:rPr>
        <w:t>نتشرة في السهول العليا الوسطى و الغربية ، و عادة ما تفسّر بأنها ترمز إلى عبادة الشمس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 xml:space="preserve">(4) </w:t>
      </w:r>
      <w:r w:rsidRPr="004240AF">
        <w:rPr>
          <w:rFonts w:ascii="Sakkal Majalla" w:hAnsi="Sakkal Majalla" w:cs="Sakkal Majalla"/>
          <w:sz w:val="32"/>
          <w:szCs w:val="32"/>
          <w:rtl/>
        </w:rPr>
        <w:t>،و قد يوجّه نحو الغرب مثلما هو الحال في كهف لالة مغنية بالغرب الجزائري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(5)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.  (الشكل5، أ ،ص. 56 ) </w:t>
      </w:r>
    </w:p>
    <w:p w:rsidR="00A12E20" w:rsidRPr="004240AF" w:rsidRDefault="00A12E20" w:rsidP="00A12E20">
      <w:pPr>
        <w:tabs>
          <w:tab w:val="left" w:pos="1218"/>
        </w:tabs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>الوضعية المنطوية : يتم فيها وضع جثة الميت على جانبه الأيـمن أو الأيسر و تكون مطوية بحيث لا  تلامس الركبتان البطن و اليدان لا تلامسان الوجه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(6)</w:t>
      </w:r>
      <w:r w:rsidRPr="004240AF">
        <w:rPr>
          <w:rFonts w:ascii="Sakkal Majalla" w:hAnsi="Sakkal Majalla" w:cs="Sakkal Majalla"/>
          <w:sz w:val="32"/>
          <w:szCs w:val="32"/>
          <w:rtl/>
        </w:rPr>
        <w:t>،( الشكل5 ، ب، ص.56) و قد تأخذ الجثة شكل القرفصاء حيث يطوى الجسم على نفسه فتكون الركبتان نحو الذقـن و الأعقاب لا تلامس الحوض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(7)</w:t>
      </w:r>
      <w:r w:rsidRPr="004240AF">
        <w:rPr>
          <w:rFonts w:ascii="Sakkal Majalla" w:hAnsi="Sakkal Majalla" w:cs="Sakkal Majalla"/>
          <w:sz w:val="32"/>
          <w:szCs w:val="32"/>
          <w:rtl/>
        </w:rPr>
        <w:t>، و لا شك أن طي الجثة لتكون على هذا الوضع كان يقوم به الأحياء قبل أن تصبح الجثة صلبة عند الموت مباشرة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(8)</w:t>
      </w:r>
      <w:r w:rsidRPr="004240AF">
        <w:rPr>
          <w:rFonts w:ascii="Sakkal Majalla" w:hAnsi="Sakkal Majalla" w:cs="Sakkal Majalla"/>
          <w:sz w:val="32"/>
          <w:szCs w:val="32"/>
          <w:rtl/>
        </w:rPr>
        <w:t>.</w:t>
      </w:r>
    </w:p>
    <w:p w:rsidR="00A12E20" w:rsidRPr="003209D7" w:rsidRDefault="00A12E20" w:rsidP="00A12E20">
      <w:pPr>
        <w:tabs>
          <w:tab w:val="left" w:pos="1218"/>
        </w:tabs>
        <w:bidi/>
        <w:spacing w:after="0" w:line="240" w:lineRule="auto"/>
        <w:rPr>
          <w:rFonts w:cs="Traditional Arabic"/>
          <w:szCs w:val="36"/>
          <w:rtl/>
        </w:rPr>
      </w:pPr>
      <w:r w:rsidRPr="003209D7">
        <w:rPr>
          <w:rFonts w:cs="Traditional Arabic" w:hint="cs"/>
          <w:szCs w:val="36"/>
          <w:rtl/>
        </w:rPr>
        <w:t>ـــــــــــــــــــــــ</w:t>
      </w:r>
      <w:r>
        <w:rPr>
          <w:rFonts w:cs="Traditional Arabic" w:hint="cs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209D7">
        <w:rPr>
          <w:rFonts w:cs="Traditional Arabic" w:hint="cs"/>
          <w:szCs w:val="36"/>
          <w:rtl/>
        </w:rPr>
        <w:t xml:space="preserve"> </w:t>
      </w:r>
    </w:p>
    <w:p w:rsidR="00A12E20" w:rsidRPr="003209D7" w:rsidRDefault="00A12E20" w:rsidP="00A12E20">
      <w:pPr>
        <w:tabs>
          <w:tab w:val="left" w:pos="1218"/>
        </w:tabs>
        <w:bidi/>
        <w:spacing w:after="0" w:line="240" w:lineRule="auto"/>
        <w:rPr>
          <w:rFonts w:cs="Traditional Arabic"/>
        </w:rPr>
      </w:pPr>
      <w:r w:rsidRPr="003A68D5">
        <w:rPr>
          <w:rFonts w:ascii="Sakkal Majalla" w:hAnsi="Sakkal Majalla" w:cs="Sakkal Majalla"/>
          <w:rtl/>
        </w:rPr>
        <w:t>(1)</w:t>
      </w:r>
      <w:r>
        <w:rPr>
          <w:rFonts w:ascii="Sakkal Majalla" w:hAnsi="Sakkal Majalla" w:cs="Sakkal Majalla"/>
        </w:rPr>
        <w:t xml:space="preserve">                                       </w:t>
      </w:r>
      <w:r w:rsidRPr="003A68D5">
        <w:rPr>
          <w:rFonts w:ascii="Sakkal Majalla" w:hAnsi="Sakkal Majalla" w:cs="Sakkal Majalla"/>
        </w:rPr>
        <w:t xml:space="preserve">       </w:t>
      </w:r>
      <w:r>
        <w:rPr>
          <w:rFonts w:ascii="Sakkal Majalla" w:hAnsi="Sakkal Majalla" w:cs="Sakkal Majalla"/>
        </w:rPr>
        <w:t xml:space="preserve">                                          </w:t>
      </w:r>
      <w:r w:rsidRPr="003A68D5">
        <w:rPr>
          <w:rFonts w:ascii="Sakkal Majalla" w:hAnsi="Sakkal Majalla" w:cs="Sakkal Majalla"/>
        </w:rPr>
        <w:t xml:space="preserve">                                          </w:t>
      </w:r>
      <w:r w:rsidRPr="003A68D5">
        <w:rPr>
          <w:rFonts w:ascii="Sakkal Majalla" w:hAnsi="Sakkal Majalla" w:cs="Sakkal Majalla"/>
          <w:rtl/>
        </w:rPr>
        <w:t xml:space="preserve"> </w:t>
      </w:r>
      <w:r w:rsidRPr="003209D7">
        <w:rPr>
          <w:rFonts w:cs="Traditional Arabic"/>
        </w:rPr>
        <w:t>– Camps ( G. ), Monuments et Rites…, P. P. 462. 566.</w:t>
      </w:r>
    </w:p>
    <w:p w:rsidR="00A12E20" w:rsidRPr="00540A23" w:rsidRDefault="00A12E20" w:rsidP="00A12E20">
      <w:pPr>
        <w:tabs>
          <w:tab w:val="left" w:pos="1218"/>
        </w:tabs>
        <w:bidi/>
        <w:spacing w:after="0" w:line="240" w:lineRule="auto"/>
        <w:rPr>
          <w:rFonts w:ascii="Sakkal Majalla" w:hAnsi="Sakkal Majalla" w:cs="Sakkal Majalla"/>
          <w:rtl/>
          <w:lang w:bidi="ar-DZ"/>
        </w:rPr>
      </w:pPr>
      <w:r w:rsidRPr="00540A23">
        <w:rPr>
          <w:rFonts w:ascii="Sakkal Majalla" w:hAnsi="Sakkal Majalla" w:cs="Sakkal Majalla"/>
          <w:rtl/>
          <w:lang w:bidi="ar-DZ"/>
        </w:rPr>
        <w:t xml:space="preserve">(2) </w:t>
      </w:r>
      <w:r>
        <w:rPr>
          <w:rFonts w:ascii="Sakkal Majalla" w:hAnsi="Sakkal Majalla" w:cs="Sakkal Majalla" w:hint="cs"/>
          <w:rtl/>
          <w:lang w:bidi="ar-DZ"/>
        </w:rPr>
        <w:t xml:space="preserve"> </w:t>
      </w:r>
      <w:r w:rsidRPr="00540A23">
        <w:rPr>
          <w:rFonts w:ascii="Sakkal Majalla" w:hAnsi="Sakkal Majalla" w:cs="Sakkal Majalla"/>
          <w:rtl/>
          <w:lang w:bidi="ar-DZ"/>
        </w:rPr>
        <w:t xml:space="preserve">جوليان شارل أندري ، المرجع السابق ، ص . 80 . </w:t>
      </w:r>
    </w:p>
    <w:p w:rsidR="00A12E20" w:rsidRPr="003209D7" w:rsidRDefault="00A12E20" w:rsidP="00A12E20">
      <w:pPr>
        <w:tabs>
          <w:tab w:val="left" w:pos="1218"/>
        </w:tabs>
        <w:bidi/>
        <w:spacing w:after="0" w:line="240" w:lineRule="auto"/>
        <w:rPr>
          <w:rFonts w:cs="Traditional Arabic"/>
          <w:lang w:bidi="ar-DZ"/>
        </w:rPr>
      </w:pPr>
      <w:r w:rsidRPr="003A68D5">
        <w:rPr>
          <w:rFonts w:ascii="Sakkal Majalla" w:hAnsi="Sakkal Majalla" w:cs="Sakkal Majalla"/>
          <w:rtl/>
          <w:lang w:bidi="ar-DZ"/>
        </w:rPr>
        <w:t>(3)</w:t>
      </w:r>
      <w:r w:rsidRPr="003209D7">
        <w:rPr>
          <w:rFonts w:cs="Traditional Arabic" w:hint="cs"/>
          <w:rtl/>
          <w:lang w:bidi="ar-DZ"/>
        </w:rPr>
        <w:t xml:space="preserve"> </w:t>
      </w:r>
      <w:r w:rsidRPr="003209D7">
        <w:rPr>
          <w:rFonts w:cs="Traditional Arabic"/>
          <w:lang w:bidi="ar-DZ"/>
        </w:rPr>
        <w:t>– Camps ( G. ), Op – Cit</w:t>
      </w:r>
      <w:r>
        <w:rPr>
          <w:rFonts w:cs="Traditional Arabic"/>
          <w:lang w:bidi="ar-DZ"/>
        </w:rPr>
        <w:t>.</w:t>
      </w:r>
      <w:r w:rsidRPr="003209D7">
        <w:rPr>
          <w:rFonts w:cs="Traditional Arabic"/>
          <w:lang w:bidi="ar-DZ"/>
        </w:rPr>
        <w:t xml:space="preserve"> , PP. 477- 480 .             </w:t>
      </w:r>
      <w:r>
        <w:rPr>
          <w:rFonts w:cs="Traditional Arabic"/>
          <w:lang w:bidi="ar-DZ"/>
        </w:rPr>
        <w:t xml:space="preserve">                            </w:t>
      </w:r>
      <w:r w:rsidRPr="003209D7">
        <w:rPr>
          <w:rFonts w:cs="Traditional Arabic"/>
          <w:lang w:bidi="ar-DZ"/>
        </w:rPr>
        <w:t xml:space="preserve">                                        </w:t>
      </w:r>
      <w:r>
        <w:rPr>
          <w:rFonts w:cs="Traditional Arabic"/>
          <w:lang w:bidi="ar-DZ"/>
        </w:rPr>
        <w:t xml:space="preserve">                               </w:t>
      </w:r>
    </w:p>
    <w:p w:rsidR="00A12E20" w:rsidRPr="003209D7" w:rsidRDefault="00A12E20" w:rsidP="00A12E20">
      <w:pPr>
        <w:tabs>
          <w:tab w:val="left" w:pos="1218"/>
        </w:tabs>
        <w:bidi/>
        <w:spacing w:after="0" w:line="240" w:lineRule="auto"/>
        <w:rPr>
          <w:rFonts w:cs="Traditional Arabic"/>
          <w:lang w:val="en-GB" w:bidi="ar-DZ"/>
        </w:rPr>
      </w:pPr>
      <w:r w:rsidRPr="003A68D5">
        <w:rPr>
          <w:rFonts w:ascii="Sakkal Majalla" w:hAnsi="Sakkal Majalla" w:cs="Sakkal Majalla"/>
          <w:rtl/>
          <w:lang w:bidi="ar-DZ"/>
        </w:rPr>
        <w:t>(4)</w:t>
      </w:r>
      <w:r w:rsidRPr="003209D7">
        <w:rPr>
          <w:rFonts w:cs="Traditional Arabic" w:hint="cs"/>
          <w:rtl/>
          <w:lang w:bidi="ar-DZ"/>
        </w:rPr>
        <w:t xml:space="preserve"> </w:t>
      </w:r>
      <w:r w:rsidRPr="003209D7">
        <w:rPr>
          <w:rFonts w:cs="Traditional Arabic"/>
          <w:lang w:val="en-GB" w:bidi="ar-DZ"/>
        </w:rPr>
        <w:t>– Ibid</w:t>
      </w:r>
      <w:r>
        <w:rPr>
          <w:rFonts w:cs="Traditional Arabic"/>
          <w:lang w:val="en-GB" w:bidi="ar-DZ"/>
        </w:rPr>
        <w:t>.</w:t>
      </w:r>
      <w:r w:rsidRPr="003209D7">
        <w:rPr>
          <w:rFonts w:cs="Traditional Arabic"/>
          <w:lang w:val="en-GB" w:bidi="ar-DZ"/>
        </w:rPr>
        <w:t xml:space="preserve"> , P. 551 .       </w:t>
      </w:r>
      <w:r>
        <w:rPr>
          <w:rFonts w:cs="Traditional Arabic"/>
          <w:lang w:val="en-GB" w:bidi="ar-DZ"/>
        </w:rPr>
        <w:t xml:space="preserve"> </w:t>
      </w:r>
      <w:r w:rsidRPr="003209D7">
        <w:rPr>
          <w:rFonts w:cs="Traditional Arabic"/>
          <w:lang w:val="en-GB" w:bidi="ar-DZ"/>
        </w:rPr>
        <w:t xml:space="preserve">                                                                                      </w:t>
      </w:r>
      <w:r>
        <w:rPr>
          <w:rFonts w:cs="Traditional Arabic"/>
          <w:lang w:val="en-GB" w:bidi="ar-DZ"/>
        </w:rPr>
        <w:t xml:space="preserve">                               </w:t>
      </w:r>
    </w:p>
    <w:p w:rsidR="00A12E20" w:rsidRPr="003209D7" w:rsidRDefault="00A12E20" w:rsidP="00A12E20">
      <w:pPr>
        <w:tabs>
          <w:tab w:val="left" w:pos="1218"/>
        </w:tabs>
        <w:bidi/>
        <w:spacing w:after="0" w:line="240" w:lineRule="auto"/>
        <w:rPr>
          <w:rFonts w:cs="Traditional Arabic"/>
          <w:rtl/>
          <w:lang w:bidi="ar-DZ"/>
        </w:rPr>
      </w:pPr>
      <w:r w:rsidRPr="003A68D5">
        <w:rPr>
          <w:rFonts w:ascii="Sakkal Majalla" w:hAnsi="Sakkal Majalla" w:cs="Sakkal Majalla"/>
          <w:rtl/>
          <w:lang w:bidi="ar-DZ"/>
        </w:rPr>
        <w:t>(5)</w:t>
      </w:r>
      <w:r w:rsidRPr="003209D7">
        <w:rPr>
          <w:rFonts w:cs="Traditional Arabic" w:hint="cs"/>
          <w:rtl/>
          <w:lang w:bidi="ar-DZ"/>
        </w:rPr>
        <w:t xml:space="preserve"> </w:t>
      </w:r>
      <w:r w:rsidRPr="003010F6">
        <w:rPr>
          <w:rFonts w:cs="Traditional Arabic"/>
          <w:lang w:val="en-US" w:bidi="ar-DZ"/>
        </w:rPr>
        <w:t xml:space="preserve">– Gsell ( S. ) , H. A. A. N., T.1, P. 270 .                                                       </w:t>
      </w:r>
      <w:r>
        <w:rPr>
          <w:rFonts w:cs="Traditional Arabic"/>
          <w:lang w:val="en-US" w:bidi="ar-DZ"/>
        </w:rPr>
        <w:t xml:space="preserve">                               </w:t>
      </w:r>
      <w:r w:rsidRPr="003010F6">
        <w:rPr>
          <w:rFonts w:cs="Traditional Arabic"/>
          <w:lang w:val="en-US" w:bidi="ar-DZ"/>
        </w:rPr>
        <w:t xml:space="preserve">  </w:t>
      </w:r>
      <w:r>
        <w:rPr>
          <w:rFonts w:cs="Traditional Arabic" w:hint="cs"/>
          <w:rtl/>
          <w:lang w:val="en-US" w:bidi="ar-DZ"/>
        </w:rPr>
        <w:t xml:space="preserve">                         </w:t>
      </w:r>
      <w:r w:rsidRPr="00540A23">
        <w:rPr>
          <w:rFonts w:ascii="Sakkal Majalla" w:hAnsi="Sakkal Majalla" w:cs="Sakkal Majalla"/>
          <w:rtl/>
        </w:rPr>
        <w:t xml:space="preserve">(6) </w:t>
      </w:r>
      <w:r w:rsidRPr="00540A23">
        <w:rPr>
          <w:rFonts w:ascii="Sakkal Majalla" w:hAnsi="Sakkal Majalla" w:cs="Sakkal Majalla"/>
          <w:rtl/>
          <w:lang w:bidi="ar-DZ"/>
        </w:rPr>
        <w:t>غانم محمد الصغير ، " بعض من ملامح الفكر ... " ، ص . 62، انظر عن مناطق انتشارها :</w:t>
      </w:r>
      <w:r w:rsidRPr="003209D7">
        <w:rPr>
          <w:rFonts w:cs="Traditional Arabic" w:hint="cs"/>
          <w:rtl/>
          <w:lang w:bidi="ar-DZ"/>
        </w:rPr>
        <w:t xml:space="preserve"> </w:t>
      </w:r>
      <w:r w:rsidRPr="003209D7">
        <w:rPr>
          <w:rFonts w:cs="Traditional Arabic"/>
          <w:lang w:bidi="ar-DZ"/>
        </w:rPr>
        <w:t xml:space="preserve">- Camps ( G. ), Monuments et     rites…, P. 470. </w:t>
      </w:r>
      <w:r w:rsidRPr="003209D7">
        <w:rPr>
          <w:rFonts w:cs="Traditional Arabic"/>
          <w:lang w:val="en-GB" w:bidi="ar-DZ"/>
        </w:rPr>
        <w:t xml:space="preserve">Tab. VII .           </w:t>
      </w:r>
      <w:r>
        <w:rPr>
          <w:rFonts w:cs="Traditional Arabic"/>
          <w:lang w:bidi="ar-DZ"/>
        </w:rPr>
        <w:t xml:space="preserve">                                              </w:t>
      </w:r>
      <w:r w:rsidRPr="003209D7">
        <w:rPr>
          <w:rFonts w:cs="Traditional Arabic"/>
          <w:lang w:val="en-GB" w:bidi="ar-DZ"/>
        </w:rPr>
        <w:t xml:space="preserve">                                                                                               </w:t>
      </w:r>
    </w:p>
    <w:p w:rsidR="00A12E20" w:rsidRPr="003209D7" w:rsidRDefault="00A12E20" w:rsidP="00A12E20">
      <w:pPr>
        <w:tabs>
          <w:tab w:val="left" w:pos="1218"/>
        </w:tabs>
        <w:bidi/>
        <w:spacing w:after="0" w:line="240" w:lineRule="auto"/>
        <w:rPr>
          <w:rFonts w:cs="Traditional Arabic"/>
          <w:rtl/>
          <w:lang w:val="en-GB"/>
        </w:rPr>
      </w:pPr>
      <w:r w:rsidRPr="003A68D5">
        <w:rPr>
          <w:rFonts w:ascii="Sakkal Majalla" w:hAnsi="Sakkal Majalla" w:cs="Sakkal Majalla"/>
          <w:rtl/>
        </w:rPr>
        <w:t>(7)</w:t>
      </w:r>
      <w:r w:rsidRPr="003209D7">
        <w:rPr>
          <w:rFonts w:cs="Traditional Arabic" w:hint="cs"/>
          <w:rtl/>
        </w:rPr>
        <w:t xml:space="preserve"> </w:t>
      </w:r>
      <w:r w:rsidRPr="003209D7">
        <w:rPr>
          <w:rFonts w:cs="Traditional Arabic"/>
          <w:lang w:val="en-GB"/>
        </w:rPr>
        <w:t>– Ibid</w:t>
      </w:r>
      <w:r>
        <w:rPr>
          <w:rFonts w:cs="Traditional Arabic"/>
          <w:lang w:val="en-GB"/>
        </w:rPr>
        <w:t>.</w:t>
      </w:r>
      <w:r w:rsidRPr="003209D7">
        <w:rPr>
          <w:rFonts w:cs="Traditional Arabic"/>
          <w:lang w:val="en-GB"/>
        </w:rPr>
        <w:t xml:space="preserve">, P. 466 .    </w:t>
      </w:r>
      <w:r w:rsidRPr="003209D7">
        <w:rPr>
          <w:rFonts w:cs="Traditional Arabic"/>
        </w:rPr>
        <w:t xml:space="preserve">   </w:t>
      </w:r>
      <w:r w:rsidRPr="003209D7">
        <w:rPr>
          <w:rFonts w:cs="Traditional Arabic"/>
          <w:lang w:val="en-GB"/>
        </w:rPr>
        <w:t xml:space="preserve">  </w:t>
      </w:r>
      <w:r>
        <w:rPr>
          <w:rFonts w:cs="Traditional Arabic"/>
          <w:lang w:val="en-GB"/>
        </w:rPr>
        <w:t xml:space="preserve"> </w:t>
      </w:r>
      <w:r w:rsidRPr="003209D7">
        <w:rPr>
          <w:rFonts w:cs="Traditional Arabic"/>
          <w:lang w:val="en-GB"/>
        </w:rPr>
        <w:t xml:space="preserve"> </w:t>
      </w:r>
      <w:r w:rsidRPr="003209D7">
        <w:rPr>
          <w:rFonts w:cs="Traditional Arabic"/>
        </w:rPr>
        <w:t xml:space="preserve">  </w:t>
      </w:r>
      <w:r w:rsidRPr="003209D7">
        <w:rPr>
          <w:rFonts w:cs="Traditional Arabic"/>
          <w:lang w:val="en-GB"/>
        </w:rPr>
        <w:t xml:space="preserve">      </w:t>
      </w:r>
      <w:r>
        <w:rPr>
          <w:rFonts w:cs="Traditional Arabic"/>
          <w:lang w:val="en-GB"/>
        </w:rPr>
        <w:t xml:space="preserve"> </w:t>
      </w:r>
      <w:r w:rsidRPr="003209D7">
        <w:rPr>
          <w:rFonts w:cs="Traditional Arabic"/>
          <w:lang w:val="en-GB"/>
        </w:rPr>
        <w:t xml:space="preserve">        </w:t>
      </w:r>
      <w:r>
        <w:rPr>
          <w:rFonts w:cs="Traditional Arabic"/>
        </w:rPr>
        <w:t xml:space="preserve">                       </w:t>
      </w:r>
      <w:r w:rsidRPr="003209D7">
        <w:rPr>
          <w:rFonts w:cs="Traditional Arabic"/>
          <w:lang w:val="en-GB"/>
        </w:rPr>
        <w:t xml:space="preserve">                                                                                                    </w:t>
      </w:r>
      <w:r>
        <w:rPr>
          <w:rFonts w:cs="Traditional Arabic" w:hint="cs"/>
          <w:rtl/>
          <w:lang w:val="en-GB"/>
        </w:rPr>
        <w:t xml:space="preserve">                        </w:t>
      </w:r>
      <w:r w:rsidRPr="003A68D5">
        <w:rPr>
          <w:rFonts w:ascii="Sakkal Majalla" w:hAnsi="Sakkal Majalla" w:cs="Sakkal Majalla"/>
          <w:rtl/>
        </w:rPr>
        <w:t>(8)</w:t>
      </w:r>
      <w:r w:rsidRPr="003209D7">
        <w:rPr>
          <w:rFonts w:cs="Traditional Arabic" w:hint="cs"/>
          <w:rtl/>
        </w:rPr>
        <w:t xml:space="preserve"> </w:t>
      </w:r>
      <w:r w:rsidRPr="003209D7">
        <w:rPr>
          <w:rFonts w:cs="Traditional Arabic" w:hint="cs"/>
          <w:rtl/>
          <w:lang w:bidi="ar-DZ"/>
        </w:rPr>
        <w:t xml:space="preserve">                                                    </w:t>
      </w:r>
      <w:r>
        <w:rPr>
          <w:rFonts w:cs="Traditional Arabic" w:hint="cs"/>
          <w:rtl/>
          <w:lang w:bidi="ar-DZ"/>
        </w:rPr>
        <w:t xml:space="preserve">  </w:t>
      </w:r>
      <w:r>
        <w:rPr>
          <w:rFonts w:cs="Traditional Arabic"/>
          <w:lang w:bidi="ar-DZ"/>
        </w:rPr>
        <w:t xml:space="preserve">             </w:t>
      </w:r>
      <w:r w:rsidRPr="003209D7">
        <w:rPr>
          <w:rFonts w:cs="Traditional Arabic" w:hint="cs"/>
          <w:rtl/>
          <w:lang w:bidi="ar-DZ"/>
        </w:rPr>
        <w:t xml:space="preserve">  </w:t>
      </w:r>
      <w:r>
        <w:rPr>
          <w:rFonts w:cs="Traditional Arabic"/>
          <w:lang w:bidi="ar-DZ"/>
        </w:rPr>
        <w:t xml:space="preserve">.             </w:t>
      </w:r>
      <w:r w:rsidRPr="003209D7">
        <w:rPr>
          <w:rFonts w:cs="Traditional Arabic" w:hint="cs"/>
          <w:rtl/>
          <w:lang w:bidi="ar-DZ"/>
        </w:rPr>
        <w:t xml:space="preserve"> </w:t>
      </w:r>
      <w:r w:rsidRPr="003209D7">
        <w:rPr>
          <w:rFonts w:cs="Traditional Arabic"/>
          <w:lang w:val="en-GB" w:bidi="ar-DZ"/>
        </w:rPr>
        <w:t>P. 182</w:t>
      </w:r>
      <w:r w:rsidRPr="003209D7">
        <w:rPr>
          <w:rFonts w:cs="Traditional Arabic" w:hint="cs"/>
          <w:rtl/>
          <w:lang w:bidi="ar-DZ"/>
        </w:rPr>
        <w:t xml:space="preserve"> </w:t>
      </w:r>
      <w:r w:rsidRPr="003209D7">
        <w:rPr>
          <w:rFonts w:cs="Traditional Arabic"/>
          <w:lang w:bidi="ar-DZ"/>
        </w:rPr>
        <w:t>.</w:t>
      </w:r>
      <w:r w:rsidRPr="003209D7">
        <w:rPr>
          <w:rFonts w:cs="Traditional Arabic" w:hint="cs"/>
          <w:rtl/>
          <w:lang w:bidi="ar-DZ"/>
        </w:rPr>
        <w:t xml:space="preserve"> </w:t>
      </w:r>
      <w:r w:rsidRPr="003209D7">
        <w:rPr>
          <w:rFonts w:cs="Traditional Arabic"/>
          <w:lang w:val="en-GB"/>
        </w:rPr>
        <w:t xml:space="preserve"> </w:t>
      </w:r>
      <w:r w:rsidRPr="003209D7">
        <w:rPr>
          <w:rFonts w:cs="Traditional Arabic"/>
          <w:lang w:val="en-GB" w:bidi="ar-DZ"/>
        </w:rPr>
        <w:t xml:space="preserve">– Gsell ( S. ), Herodote . Textes relatifs…, </w:t>
      </w:r>
    </w:p>
    <w:p w:rsidR="00A12E20" w:rsidRDefault="00A12E20" w:rsidP="00A12E20">
      <w:pPr>
        <w:tabs>
          <w:tab w:val="left" w:pos="1218"/>
        </w:tabs>
        <w:bidi/>
        <w:rPr>
          <w:rFonts w:cs="Traditional Arabic"/>
          <w:szCs w:val="36"/>
          <w:rtl/>
        </w:rPr>
      </w:pPr>
    </w:p>
    <w:p w:rsidR="00A12E20" w:rsidRPr="004240AF" w:rsidRDefault="00A12E20" w:rsidP="00A12E20">
      <w:pPr>
        <w:tabs>
          <w:tab w:val="left" w:pos="1218"/>
        </w:tabs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lastRenderedPageBreak/>
        <w:t>و تعتبر هذه الطريقة من أقدم أشكال الدفن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(1)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حيث مارسها الإنسان القفصي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 xml:space="preserve">(2) </w:t>
      </w:r>
      <w:r w:rsidRPr="004240AF">
        <w:rPr>
          <w:rFonts w:ascii="Sakkal Majalla" w:hAnsi="Sakkal Majalla" w:cs="Sakkal Majalla"/>
          <w:sz w:val="32"/>
          <w:szCs w:val="32"/>
          <w:rtl/>
        </w:rPr>
        <w:t>،و قد تطوى الجثة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>بحيث يلامس العقبان عظم الحوض ، و تكون الأطـراف الأمامية متّصلتان بالصـدر و</w:t>
      </w:r>
      <w:r w:rsidRPr="004240AF">
        <w:rPr>
          <w:rFonts w:ascii="Sakkal Majalla" w:hAnsi="Sakkal Majalla" w:cs="Sakkal Majalla"/>
          <w:sz w:val="32"/>
          <w:szCs w:val="32"/>
          <w:rtl/>
          <w:lang w:bidi="ar-DZ"/>
        </w:rPr>
        <w:t>لا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تلامس الركبتان و اليدان الوجه، و كان يتم للحصول عليها تقييد الميت أو تلفّ جثّته أحيانا بجلد حيوان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(3)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. </w:t>
      </w:r>
    </w:p>
    <w:p w:rsidR="00A12E20" w:rsidRPr="004240AF" w:rsidRDefault="00A12E20" w:rsidP="00A12E20">
      <w:pPr>
        <w:tabs>
          <w:tab w:val="left" w:pos="1218"/>
        </w:tabs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 xml:space="preserve">    لقد أعطى الدارسون لطي الجثة تفسيرات عديدة ، فأرجـع بعضهم ذلك إلى خوف الأحياء من رجوع الميت و أيـذائهم و يستدلون على ذلك بالقـيد الذي يكـبّل به الميت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(4)</w:t>
      </w:r>
      <w:r w:rsidRPr="004240AF">
        <w:rPr>
          <w:rFonts w:ascii="Sakkal Majalla" w:hAnsi="Sakkal Majalla" w:cs="Sakkal Majalla"/>
          <w:sz w:val="32"/>
          <w:szCs w:val="32"/>
          <w:rtl/>
        </w:rPr>
        <w:t>، في حيـن لم يسـتبعد آخرون أن يكون ذلك بهدف ألا تأخذ الجثة إلا حيّـزا قليلا في أرضية الكهوف لتـترك متّسعا من المكان للأحياء أو للأموات الذين سيلحقون بهم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(5)</w:t>
      </w:r>
      <w:r w:rsidRPr="004240AF">
        <w:rPr>
          <w:rFonts w:ascii="Sakkal Majalla" w:hAnsi="Sakkal Majalla" w:cs="Sakkal Majalla"/>
          <w:sz w:val="32"/>
          <w:szCs w:val="32"/>
          <w:rtl/>
        </w:rPr>
        <w:t>، أو للإقتصاد في بناء القبر بحيث يقتصر على حفرة ضيّقة و ركام صغير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(6)</w:t>
      </w:r>
      <w:r w:rsidRPr="004240AF">
        <w:rPr>
          <w:rFonts w:ascii="Sakkal Majalla" w:hAnsi="Sakkal Majalla" w:cs="Sakkal Majalla"/>
          <w:sz w:val="32"/>
          <w:szCs w:val="32"/>
          <w:rtl/>
        </w:rPr>
        <w:t>، كما يفـسّر بعض الباحثين طي الجثة على شكل جنين برغبة القدماء في تقليد تلك الوضعية لأنها ترمز إلى عودة أصله و نشأته الأولى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(7)</w:t>
      </w:r>
      <w:r w:rsidRPr="004240AF">
        <w:rPr>
          <w:rFonts w:ascii="Sakkal Majalla" w:hAnsi="Sakkal Majalla" w:cs="Sakkal Majalla"/>
          <w:sz w:val="32"/>
          <w:szCs w:val="32"/>
          <w:rtl/>
        </w:rPr>
        <w:t>.( الشكل5،ج، ص. 56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) </w:t>
      </w:r>
    </w:p>
    <w:p w:rsidR="00A12E20" w:rsidRPr="004240AF" w:rsidRDefault="00A12E20" w:rsidP="00A12E20">
      <w:pPr>
        <w:tabs>
          <w:tab w:val="left" w:pos="1218"/>
        </w:tabs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>و قد تواصلت ممارسة طي الجثـة إلى وقت متأخر ، ففي القرن الخامس ق.م يخبرنا هيرودوت أن الناسامون كانوا يجتهدون في أن يكون المحتضر منهم في وضعية جلوس و يعملون على منـعه من أن يلفظ أنفاسه و هو مستلق على ظهره ، لكي يتم دفنه على تلك الوضعية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 xml:space="preserve">(8) </w:t>
      </w:r>
      <w:r w:rsidRPr="004240AF">
        <w:rPr>
          <w:rFonts w:ascii="Sakkal Majalla" w:hAnsi="Sakkal Majalla" w:cs="Sakkal Majalla"/>
          <w:sz w:val="32"/>
          <w:szCs w:val="32"/>
          <w:rtl/>
        </w:rPr>
        <w:t>.</w:t>
      </w:r>
    </w:p>
    <w:p w:rsidR="00A12E20" w:rsidRPr="004240AF" w:rsidRDefault="00A12E20" w:rsidP="00260B0A">
      <w:pPr>
        <w:tabs>
          <w:tab w:val="left" w:pos="1218"/>
        </w:tabs>
        <w:bidi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 xml:space="preserve">    إلى جانب هذا فقد عثر الأثريون على مدافن عديدة تـمّ فيها خلط العظام أو تم نثـرها مما يدل  على ممارسة البربر لهذه الشعيرة، و قد تعددت التفسيرات التي قدمها الدارسون لها ، فاعتبرها</w:t>
      </w:r>
      <w:r w:rsidRPr="004240AF"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ج . كامبس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>) مرحلة انتقالية يتحوّل فيها الميت من عالم الأحياء إلى عالم الأموات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(9)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، و أرجعها آخرون  </w:t>
      </w:r>
      <w:r w:rsidR="00260B0A" w:rsidRPr="004240AF">
        <w:rPr>
          <w:rFonts w:ascii="Sakkal Majalla" w:hAnsi="Sakkal Majalla" w:cs="Sakkal Majalla"/>
          <w:sz w:val="32"/>
          <w:szCs w:val="32"/>
          <w:rtl/>
        </w:rPr>
        <w:t xml:space="preserve">إلى الخوف من </w:t>
      </w:r>
    </w:p>
    <w:p w:rsidR="00A12E20" w:rsidRPr="003209D7" w:rsidRDefault="00A12E20" w:rsidP="00D46A8F">
      <w:pPr>
        <w:tabs>
          <w:tab w:val="left" w:pos="651"/>
        </w:tabs>
        <w:bidi/>
        <w:spacing w:after="0"/>
        <w:rPr>
          <w:rFonts w:cs="Traditional Arabic"/>
          <w:rtl/>
          <w:lang w:val="en-GB" w:bidi="ar-DZ"/>
        </w:rPr>
      </w:pPr>
      <w:r w:rsidRPr="003209D7">
        <w:rPr>
          <w:rFonts w:cs="Traditional Arabic" w:hint="cs"/>
          <w:rtl/>
          <w:lang w:val="en-GB" w:bidi="ar-DZ"/>
        </w:rPr>
        <w:t>ــــــــــــــــــــــــــــ</w:t>
      </w:r>
      <w:r>
        <w:rPr>
          <w:rFonts w:cs="Traditional Arabic" w:hint="cs"/>
          <w:rtl/>
          <w:lang w:val="en-GB"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209D7">
        <w:rPr>
          <w:rFonts w:cs="Traditional Arabic" w:hint="cs"/>
          <w:rtl/>
          <w:lang w:val="en-GB" w:bidi="ar-DZ"/>
        </w:rPr>
        <w:t>ـــ</w:t>
      </w:r>
    </w:p>
    <w:p w:rsidR="00A12E20" w:rsidRPr="003010F6" w:rsidRDefault="00A12E20" w:rsidP="00D46A8F">
      <w:pPr>
        <w:tabs>
          <w:tab w:val="left" w:pos="1218"/>
        </w:tabs>
        <w:bidi/>
        <w:spacing w:after="0"/>
        <w:rPr>
          <w:rFonts w:cs="Traditional Arabic"/>
          <w:sz w:val="36"/>
          <w:szCs w:val="36"/>
          <w:rtl/>
          <w:lang w:val="en-US"/>
        </w:rPr>
      </w:pPr>
      <w:r w:rsidRPr="001D66CA">
        <w:rPr>
          <w:rFonts w:ascii="Sakkal Majalla" w:hAnsi="Sakkal Majalla" w:cs="Sakkal Majalla"/>
          <w:lang w:bidi="ar-DZ"/>
        </w:rPr>
        <w:t xml:space="preserve"> </w:t>
      </w:r>
      <w:r w:rsidRPr="003A68D5">
        <w:rPr>
          <w:rFonts w:ascii="Sakkal Majalla" w:hAnsi="Sakkal Majalla" w:cs="Sakkal Majalla"/>
          <w:rtl/>
        </w:rPr>
        <w:t>(1)</w:t>
      </w:r>
      <w:r w:rsidRPr="003209D7">
        <w:rPr>
          <w:rFonts w:cs="Traditional Arabic" w:hint="cs"/>
          <w:rtl/>
        </w:rPr>
        <w:t xml:space="preserve">    </w:t>
      </w:r>
      <w:r w:rsidRPr="003010F6">
        <w:rPr>
          <w:rFonts w:cs="Traditional Arabic"/>
          <w:lang w:val="en-US"/>
        </w:rPr>
        <w:t xml:space="preserve"> – Ibid., H. A. A. N., T.6, P. 206 .          </w:t>
      </w:r>
      <w:r w:rsidR="00260B0A">
        <w:rPr>
          <w:rFonts w:cs="Traditional Arabic"/>
          <w:lang w:val="en-US"/>
        </w:rPr>
        <w:t xml:space="preserve"> </w:t>
      </w:r>
      <w:r w:rsidRPr="003010F6">
        <w:rPr>
          <w:rFonts w:cs="Traditional Arabic"/>
          <w:lang w:val="en-US"/>
        </w:rPr>
        <w:t xml:space="preserve">   </w:t>
      </w:r>
      <w:r w:rsidR="00260B0A" w:rsidRPr="00260B0A">
        <w:rPr>
          <w:rFonts w:cs="Traditional Arabic"/>
          <w:lang w:val="en-US"/>
        </w:rPr>
        <w:t xml:space="preserve">   </w:t>
      </w:r>
      <w:r w:rsidR="00260B0A">
        <w:rPr>
          <w:rFonts w:cs="Traditional Arabic"/>
          <w:lang w:val="en-US"/>
        </w:rPr>
        <w:t xml:space="preserve">                         </w:t>
      </w:r>
      <w:r w:rsidRPr="003010F6">
        <w:rPr>
          <w:rFonts w:cs="Traditional Arabic"/>
          <w:lang w:val="en-US"/>
        </w:rPr>
        <w:t xml:space="preserve">                                                 </w:t>
      </w:r>
      <w:r>
        <w:rPr>
          <w:rFonts w:cs="Traditional Arabic"/>
          <w:lang w:val="en-US"/>
        </w:rPr>
        <w:t xml:space="preserve">                               </w:t>
      </w:r>
      <w:r w:rsidRPr="003010F6">
        <w:rPr>
          <w:rFonts w:cs="Traditional Arabic"/>
          <w:lang w:val="en-US"/>
        </w:rPr>
        <w:t xml:space="preserve"> </w:t>
      </w:r>
      <w:r w:rsidR="00260B0A">
        <w:rPr>
          <w:rFonts w:cs="Traditional Arabic" w:hint="cs"/>
          <w:rtl/>
          <w:lang w:val="en-US"/>
        </w:rPr>
        <w:t xml:space="preserve">                        </w:t>
      </w:r>
      <w:r w:rsidRPr="003A68D5">
        <w:rPr>
          <w:rFonts w:ascii="Sakkal Majalla" w:hAnsi="Sakkal Majalla" w:cs="Sakkal Majalla"/>
          <w:rtl/>
        </w:rPr>
        <w:t>(2)</w:t>
      </w:r>
      <w:r w:rsidRPr="003209D7">
        <w:rPr>
          <w:rFonts w:cs="Traditional Arabic" w:hint="cs"/>
          <w:rtl/>
        </w:rPr>
        <w:t xml:space="preserve">   </w:t>
      </w:r>
      <w:r w:rsidRPr="00580821">
        <w:rPr>
          <w:rFonts w:cs="Traditional Arabic"/>
          <w:lang w:val="en-US"/>
        </w:rPr>
        <w:t xml:space="preserve">- Camps ( G. ), Op – Cit ., P. 468 .          </w:t>
      </w:r>
      <w:r w:rsidR="00260B0A">
        <w:rPr>
          <w:rFonts w:cs="Traditional Arabic"/>
          <w:lang w:val="en-US"/>
        </w:rPr>
        <w:t xml:space="preserve">   </w:t>
      </w:r>
      <w:r w:rsidRPr="00580821">
        <w:rPr>
          <w:rFonts w:cs="Traditional Arabic"/>
          <w:lang w:val="en-US"/>
        </w:rPr>
        <w:t xml:space="preserve">      </w:t>
      </w:r>
      <w:r w:rsidR="00260B0A" w:rsidRPr="00260B0A">
        <w:rPr>
          <w:rFonts w:cs="Traditional Arabic"/>
          <w:lang w:val="en-US"/>
        </w:rPr>
        <w:t xml:space="preserve">   </w:t>
      </w:r>
      <w:r w:rsidR="00260B0A">
        <w:rPr>
          <w:rFonts w:cs="Traditional Arabic"/>
          <w:lang w:val="en-US"/>
        </w:rPr>
        <w:t xml:space="preserve">                     </w:t>
      </w:r>
      <w:r w:rsidRPr="00580821">
        <w:rPr>
          <w:rFonts w:cs="Traditional Arabic"/>
          <w:lang w:val="en-US"/>
        </w:rPr>
        <w:t xml:space="preserve">                                                                              </w:t>
      </w:r>
      <w:r w:rsidR="00260B0A">
        <w:rPr>
          <w:rFonts w:cs="Traditional Arabic" w:hint="cs"/>
          <w:rtl/>
          <w:lang w:val="en-US"/>
        </w:rPr>
        <w:t xml:space="preserve">                       </w:t>
      </w:r>
      <w:r w:rsidRPr="003A68D5">
        <w:rPr>
          <w:rFonts w:ascii="Sakkal Majalla" w:hAnsi="Sakkal Majalla" w:cs="Sakkal Majalla"/>
          <w:rtl/>
        </w:rPr>
        <w:t>(3)</w:t>
      </w:r>
      <w:r w:rsidRPr="003209D7">
        <w:rPr>
          <w:rFonts w:cs="Traditional Arabic"/>
          <w:lang w:val="en-GB"/>
        </w:rPr>
        <w:t>- Ibid</w:t>
      </w:r>
      <w:r>
        <w:rPr>
          <w:rFonts w:cs="Traditional Arabic"/>
          <w:lang w:val="en-GB"/>
        </w:rPr>
        <w:t>.</w:t>
      </w:r>
      <w:r w:rsidRPr="003209D7">
        <w:rPr>
          <w:rFonts w:cs="Traditional Arabic"/>
          <w:lang w:val="en-GB"/>
        </w:rPr>
        <w:t xml:space="preserve">, PP. 472 . 474 .  </w:t>
      </w:r>
      <w:r w:rsidR="00260B0A">
        <w:rPr>
          <w:rFonts w:cs="Traditional Arabic"/>
          <w:lang w:val="en-GB"/>
        </w:rPr>
        <w:t xml:space="preserve">                            </w:t>
      </w:r>
      <w:r w:rsidRPr="003209D7">
        <w:rPr>
          <w:rFonts w:cs="Traditional Arabic"/>
          <w:lang w:val="en-GB"/>
        </w:rPr>
        <w:t xml:space="preserve">                                                                                                                  </w:t>
      </w:r>
    </w:p>
    <w:p w:rsidR="00A12E20" w:rsidRPr="003209D7" w:rsidRDefault="00A12E20" w:rsidP="00D46A8F">
      <w:pPr>
        <w:tabs>
          <w:tab w:val="left" w:pos="1218"/>
        </w:tabs>
        <w:bidi/>
        <w:spacing w:after="0"/>
        <w:rPr>
          <w:rFonts w:cs="Traditional Arabic"/>
          <w:rtl/>
        </w:rPr>
      </w:pPr>
      <w:r w:rsidRPr="003A68D5">
        <w:rPr>
          <w:rFonts w:ascii="Sakkal Majalla" w:hAnsi="Sakkal Majalla" w:cs="Sakkal Majalla"/>
          <w:rtl/>
        </w:rPr>
        <w:t>(4)</w:t>
      </w:r>
      <w:r w:rsidRPr="003209D7">
        <w:rPr>
          <w:rFonts w:cs="Traditional Arabic" w:hint="cs"/>
          <w:rtl/>
        </w:rPr>
        <w:t xml:space="preserve"> </w:t>
      </w:r>
      <w:r w:rsidRPr="003209D7">
        <w:rPr>
          <w:rFonts w:cs="Traditional Arabic"/>
          <w:lang w:val="en-GB"/>
        </w:rPr>
        <w:t>– Ibid</w:t>
      </w:r>
      <w:r>
        <w:rPr>
          <w:rFonts w:cs="Traditional Arabic"/>
          <w:lang w:val="en-GB"/>
        </w:rPr>
        <w:t>.</w:t>
      </w:r>
      <w:r w:rsidRPr="003209D7">
        <w:rPr>
          <w:rFonts w:cs="Traditional Arabic"/>
          <w:lang w:val="en-GB"/>
        </w:rPr>
        <w:t>, PP. 471- 472 ; Gsell ( S. ) , H. A. A. N</w:t>
      </w:r>
      <w:r>
        <w:rPr>
          <w:rFonts w:cs="Traditional Arabic"/>
          <w:lang w:val="en-GB"/>
        </w:rPr>
        <w:t>.</w:t>
      </w:r>
      <w:r w:rsidRPr="003209D7">
        <w:rPr>
          <w:rFonts w:cs="Traditional Arabic"/>
          <w:lang w:val="en-GB"/>
        </w:rPr>
        <w:t>, T</w:t>
      </w:r>
      <w:r>
        <w:rPr>
          <w:rFonts w:cs="Traditional Arabic"/>
          <w:lang w:val="en-GB"/>
        </w:rPr>
        <w:t>.</w:t>
      </w:r>
      <w:r w:rsidRPr="003209D7">
        <w:rPr>
          <w:rFonts w:cs="Traditional Arabic"/>
          <w:lang w:val="en-GB"/>
        </w:rPr>
        <w:t xml:space="preserve">6 , P. 236.               </w:t>
      </w:r>
      <w:r>
        <w:rPr>
          <w:rFonts w:cs="Traditional Arabic"/>
          <w:lang w:val="en-GB"/>
        </w:rPr>
        <w:t xml:space="preserve">                           </w:t>
      </w:r>
      <w:r w:rsidRPr="003209D7">
        <w:rPr>
          <w:rFonts w:cs="Traditional Arabic"/>
          <w:lang w:val="en-GB"/>
        </w:rPr>
        <w:t xml:space="preserve">        </w:t>
      </w:r>
      <w:r>
        <w:rPr>
          <w:rFonts w:cs="Traditional Arabic"/>
          <w:lang w:val="en-GB"/>
        </w:rPr>
        <w:t xml:space="preserve">                               </w:t>
      </w:r>
    </w:p>
    <w:p w:rsidR="00A12E20" w:rsidRPr="00540A23" w:rsidRDefault="00A12E20" w:rsidP="00D46A8F">
      <w:pPr>
        <w:tabs>
          <w:tab w:val="left" w:pos="1218"/>
        </w:tabs>
        <w:bidi/>
        <w:spacing w:after="0"/>
        <w:rPr>
          <w:rFonts w:ascii="Sakkal Majalla" w:hAnsi="Sakkal Majalla" w:cs="Sakkal Majalla"/>
          <w:rtl/>
          <w:lang w:bidi="ar-DZ"/>
        </w:rPr>
      </w:pPr>
      <w:r w:rsidRPr="00540A23">
        <w:rPr>
          <w:rFonts w:ascii="Sakkal Majalla" w:hAnsi="Sakkal Majalla" w:cs="Sakkal Majalla"/>
          <w:rtl/>
        </w:rPr>
        <w:t>(5)</w:t>
      </w:r>
      <w:r>
        <w:rPr>
          <w:rFonts w:ascii="Sakkal Majalla" w:hAnsi="Sakkal Majalla" w:cs="Sakkal Majalla" w:hint="cs"/>
          <w:rtl/>
        </w:rPr>
        <w:t xml:space="preserve"> </w:t>
      </w:r>
      <w:r w:rsidRPr="00540A23">
        <w:rPr>
          <w:rFonts w:ascii="Sakkal Majalla" w:hAnsi="Sakkal Majalla" w:cs="Sakkal Majalla"/>
          <w:rtl/>
        </w:rPr>
        <w:t xml:space="preserve"> </w:t>
      </w:r>
      <w:r w:rsidRPr="00540A23">
        <w:rPr>
          <w:rFonts w:ascii="Sakkal Majalla" w:hAnsi="Sakkal Majalla" w:cs="Sakkal Majalla"/>
          <w:rtl/>
          <w:lang w:bidi="ar-DZ"/>
        </w:rPr>
        <w:t>غانم محمد الصغير ، " بعض من ملامح الفكر الديني ... " ص . 62 .</w:t>
      </w:r>
    </w:p>
    <w:p w:rsidR="00A12E20" w:rsidRPr="003209D7" w:rsidRDefault="00A12E20" w:rsidP="00D46A8F">
      <w:pPr>
        <w:tabs>
          <w:tab w:val="left" w:pos="1218"/>
        </w:tabs>
        <w:bidi/>
        <w:spacing w:after="0"/>
        <w:rPr>
          <w:rFonts w:cs="Traditional Arabic" w:hint="cs"/>
          <w:rtl/>
          <w:lang w:bidi="ar-DZ"/>
        </w:rPr>
      </w:pPr>
      <w:r w:rsidRPr="003A68D5">
        <w:rPr>
          <w:rFonts w:ascii="Sakkal Majalla" w:hAnsi="Sakkal Majalla" w:cs="Sakkal Majalla"/>
          <w:rtl/>
        </w:rPr>
        <w:t>(6)</w:t>
      </w:r>
      <w:r w:rsidRPr="003209D7">
        <w:rPr>
          <w:rFonts w:cs="Traditional Arabic" w:hint="cs"/>
          <w:rtl/>
        </w:rPr>
        <w:t xml:space="preserve"> </w:t>
      </w:r>
      <w:r w:rsidRPr="00260B0A">
        <w:rPr>
          <w:rFonts w:cs="Traditional Arabic"/>
          <w:lang w:val="en-GB"/>
        </w:rPr>
        <w:t xml:space="preserve">– R. Le Du et Serree de Roch, le Gissement Capsien </w:t>
      </w:r>
      <w:r w:rsidRPr="001D66CA">
        <w:rPr>
          <w:rFonts w:cs="Traditional Arabic"/>
        </w:rPr>
        <w:t>de Be</w:t>
      </w:r>
      <w:r w:rsidRPr="003209D7">
        <w:rPr>
          <w:rFonts w:cs="Traditional Arabic"/>
        </w:rPr>
        <w:t xml:space="preserve">kkaria( commune mixte de      </w:t>
      </w:r>
      <w:r>
        <w:rPr>
          <w:rFonts w:cs="Traditional Arabic"/>
        </w:rPr>
        <w:t xml:space="preserve">                       </w:t>
      </w:r>
      <w:r w:rsidR="00260B0A">
        <w:rPr>
          <w:rFonts w:cs="Traditional Arabic"/>
        </w:rPr>
        <w:t xml:space="preserve">   </w:t>
      </w:r>
    </w:p>
    <w:p w:rsidR="00A12E20" w:rsidRPr="003209D7" w:rsidRDefault="00A12E20" w:rsidP="00D46A8F">
      <w:pPr>
        <w:tabs>
          <w:tab w:val="left" w:pos="1218"/>
        </w:tabs>
        <w:bidi/>
        <w:spacing w:after="0"/>
        <w:rPr>
          <w:rFonts w:cs="Traditional Arabic"/>
          <w:rtl/>
        </w:rPr>
      </w:pPr>
      <w:r w:rsidRPr="003209D7">
        <w:rPr>
          <w:rFonts w:cs="Traditional Arabic"/>
        </w:rPr>
        <w:t>M</w:t>
      </w:r>
      <w:r w:rsidR="00260B0A">
        <w:rPr>
          <w:rFonts w:cs="Traditional Arabic"/>
        </w:rPr>
        <w:t>o</w:t>
      </w:r>
      <w:r w:rsidRPr="003209D7">
        <w:rPr>
          <w:rFonts w:cs="Traditional Arabic"/>
        </w:rPr>
        <w:t>rs</w:t>
      </w:r>
      <w:r w:rsidR="00260B0A">
        <w:rPr>
          <w:rFonts w:cs="Traditional Arabic"/>
        </w:rPr>
        <w:t>o</w:t>
      </w:r>
      <w:r w:rsidRPr="003209D7">
        <w:rPr>
          <w:rFonts w:cs="Traditional Arabic"/>
        </w:rPr>
        <w:t>tt</w:t>
      </w:r>
      <w:r w:rsidR="00260B0A">
        <w:rPr>
          <w:rFonts w:cs="Traditional Arabic"/>
        </w:rPr>
        <w:t xml:space="preserve"> </w:t>
      </w:r>
      <w:r w:rsidRPr="003209D7">
        <w:rPr>
          <w:rFonts w:cs="Traditional Arabic"/>
        </w:rPr>
        <w:t xml:space="preserve"> – département de Constantine ), Libyca , T</w:t>
      </w:r>
      <w:r>
        <w:rPr>
          <w:rFonts w:cs="Traditional Arabic"/>
        </w:rPr>
        <w:t>.</w:t>
      </w:r>
      <w:r w:rsidRPr="003209D7">
        <w:rPr>
          <w:rFonts w:cs="Traditional Arabic"/>
        </w:rPr>
        <w:t>1 , 1953 , P.1</w:t>
      </w:r>
      <w:r w:rsidR="00260B0A">
        <w:rPr>
          <w:rFonts w:cs="Traditional Arabic"/>
        </w:rPr>
        <w:t>4</w:t>
      </w:r>
      <w:r w:rsidRPr="003209D7">
        <w:rPr>
          <w:rFonts w:cs="Traditional Arabic"/>
        </w:rPr>
        <w:t xml:space="preserve">4 .     </w:t>
      </w:r>
      <w:r w:rsidR="00260B0A">
        <w:rPr>
          <w:rFonts w:cs="Traditional Arabic"/>
        </w:rPr>
        <w:t xml:space="preserve">                </w:t>
      </w:r>
      <w:r w:rsidRPr="003209D7">
        <w:rPr>
          <w:rFonts w:cs="Traditional Arabic"/>
        </w:rPr>
        <w:t xml:space="preserve">     </w:t>
      </w:r>
      <w:r>
        <w:rPr>
          <w:rFonts w:cs="Traditional Arabic"/>
        </w:rPr>
        <w:t xml:space="preserve">  </w:t>
      </w:r>
      <w:r w:rsidRPr="003209D7">
        <w:rPr>
          <w:rFonts w:cs="Traditional Arabic"/>
        </w:rPr>
        <w:t xml:space="preserve">                             </w:t>
      </w:r>
    </w:p>
    <w:p w:rsidR="00A12E20" w:rsidRPr="003209D7" w:rsidRDefault="00A12E20" w:rsidP="00D46A8F">
      <w:pPr>
        <w:tabs>
          <w:tab w:val="left" w:pos="1218"/>
        </w:tabs>
        <w:bidi/>
        <w:spacing w:after="0"/>
        <w:rPr>
          <w:rFonts w:cs="Traditional Arabic"/>
        </w:rPr>
      </w:pPr>
      <w:r w:rsidRPr="003A68D5">
        <w:rPr>
          <w:rFonts w:ascii="Sakkal Majalla" w:hAnsi="Sakkal Majalla" w:cs="Sakkal Majalla"/>
          <w:rtl/>
        </w:rPr>
        <w:t>(7)</w:t>
      </w:r>
      <w:r w:rsidRPr="003209D7">
        <w:rPr>
          <w:rFonts w:cs="Traditional Arabic" w:hint="cs"/>
          <w:rtl/>
        </w:rPr>
        <w:t xml:space="preserve">      </w:t>
      </w:r>
      <w:r w:rsidRPr="003209D7">
        <w:rPr>
          <w:rFonts w:cs="Traditional Arabic"/>
        </w:rPr>
        <w:t>– Camps ( G. ) , Op – Cit</w:t>
      </w:r>
      <w:r>
        <w:rPr>
          <w:rFonts w:cs="Traditional Arabic"/>
        </w:rPr>
        <w:t>.</w:t>
      </w:r>
      <w:r w:rsidRPr="003209D7">
        <w:rPr>
          <w:rFonts w:cs="Traditional Arabic"/>
        </w:rPr>
        <w:t xml:space="preserve"> , PP. 472 – 474 </w:t>
      </w:r>
      <w:r w:rsidR="00260B0A">
        <w:rPr>
          <w:rFonts w:cs="Traditional Arabic"/>
        </w:rPr>
        <w:t>.</w:t>
      </w:r>
      <w:r w:rsidRPr="003209D7">
        <w:rPr>
          <w:rFonts w:cs="Traditional Arabic"/>
        </w:rPr>
        <w:t xml:space="preserve">               </w:t>
      </w:r>
      <w:r w:rsidR="00260B0A">
        <w:rPr>
          <w:rFonts w:cs="Traditional Arabic"/>
        </w:rPr>
        <w:t xml:space="preserve">                         </w:t>
      </w:r>
      <w:r w:rsidRPr="003209D7">
        <w:rPr>
          <w:rFonts w:cs="Traditional Arabic"/>
        </w:rPr>
        <w:t xml:space="preserve">                                                               </w:t>
      </w:r>
    </w:p>
    <w:p w:rsidR="00A12E20" w:rsidRPr="003209D7" w:rsidRDefault="00A12E20" w:rsidP="00D46A8F">
      <w:pPr>
        <w:bidi/>
        <w:spacing w:after="0"/>
        <w:rPr>
          <w:rFonts w:cs="Traditional Arabic"/>
          <w:rtl/>
          <w:lang w:bidi="ar-DZ"/>
        </w:rPr>
      </w:pPr>
      <w:r w:rsidRPr="003A68D5">
        <w:rPr>
          <w:rFonts w:ascii="Sakkal Majalla" w:hAnsi="Sakkal Majalla" w:cs="Sakkal Majalla"/>
          <w:rtl/>
          <w:lang w:bidi="ar-DZ"/>
        </w:rPr>
        <w:t>(8)</w:t>
      </w:r>
      <w:r w:rsidRPr="003209D7">
        <w:rPr>
          <w:rFonts w:cs="Traditional Arabic" w:hint="cs"/>
          <w:rtl/>
          <w:lang w:bidi="ar-DZ"/>
        </w:rPr>
        <w:t xml:space="preserve"> </w:t>
      </w:r>
      <w:r w:rsidRPr="003209D7">
        <w:rPr>
          <w:rFonts w:cs="Traditional Arabic"/>
          <w:lang w:bidi="ar-DZ"/>
        </w:rPr>
        <w:t xml:space="preserve">– Herodote , IV, 190.                                                 </w:t>
      </w:r>
      <w:r w:rsidR="00260B0A">
        <w:rPr>
          <w:rFonts w:cs="Traditional Arabic"/>
          <w:lang w:bidi="ar-DZ"/>
        </w:rPr>
        <w:t xml:space="preserve">                     </w:t>
      </w:r>
      <w:r w:rsidRPr="003209D7">
        <w:rPr>
          <w:rFonts w:cs="Traditional Arabic"/>
          <w:lang w:bidi="ar-DZ"/>
        </w:rPr>
        <w:t xml:space="preserve">  </w:t>
      </w:r>
      <w:r w:rsidR="00260B0A">
        <w:rPr>
          <w:rFonts w:cs="Traditional Arabic"/>
          <w:lang w:bidi="ar-DZ"/>
        </w:rPr>
        <w:t xml:space="preserve">        </w:t>
      </w:r>
      <w:r w:rsidRPr="003209D7">
        <w:rPr>
          <w:rFonts w:cs="Traditional Arabic"/>
          <w:lang w:bidi="ar-DZ"/>
        </w:rPr>
        <w:t xml:space="preserve">                                                                </w:t>
      </w:r>
    </w:p>
    <w:p w:rsidR="00A12E20" w:rsidRPr="00260B0A" w:rsidRDefault="00A12E20" w:rsidP="00D46A8F">
      <w:pPr>
        <w:spacing w:after="0"/>
        <w:rPr>
          <w:rtl/>
          <w:lang w:bidi="ar-DZ"/>
        </w:rPr>
      </w:pPr>
      <w:r>
        <w:rPr>
          <w:rFonts w:hint="cs"/>
          <w:rtl/>
          <w:lang w:bidi="ar-DZ"/>
        </w:rPr>
        <w:t xml:space="preserve">      </w:t>
      </w:r>
      <w:r w:rsidR="00260B0A">
        <w:rPr>
          <w:rFonts w:hint="cs"/>
          <w:rtl/>
          <w:lang w:bidi="ar-DZ"/>
        </w:rPr>
        <w:t xml:space="preserve">                </w:t>
      </w:r>
    </w:p>
    <w:tbl>
      <w:tblPr>
        <w:tblpPr w:leftFromText="141" w:rightFromText="141" w:vertAnchor="text" w:tblpX="5100" w:tblpY="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0"/>
      </w:tblGrid>
      <w:tr w:rsidR="00A12E20" w:rsidTr="008A3608">
        <w:trPr>
          <w:trHeight w:val="4320"/>
        </w:trPr>
        <w:tc>
          <w:tcPr>
            <w:tcW w:w="4282" w:type="dxa"/>
          </w:tcPr>
          <w:p w:rsidR="00A12E20" w:rsidRDefault="00A12E20" w:rsidP="00D46A8F">
            <w:pPr>
              <w:tabs>
                <w:tab w:val="left" w:pos="651"/>
              </w:tabs>
              <w:spacing w:after="0"/>
              <w:rPr>
                <w:sz w:val="36"/>
                <w:szCs w:val="36"/>
                <w:rtl/>
                <w:lang w:bidi="ar-DZ"/>
              </w:rPr>
            </w:pPr>
            <w:r>
              <w:rPr>
                <w:noProof/>
                <w:sz w:val="36"/>
                <w:szCs w:val="36"/>
              </w:rPr>
              <w:lastRenderedPageBreak/>
              <w:drawing>
                <wp:inline distT="0" distB="0" distL="0" distR="0">
                  <wp:extent cx="2627630" cy="2726690"/>
                  <wp:effectExtent l="19050" t="0" r="1270" b="0"/>
                  <wp:docPr id="15" name="Image 21" descr="IMG_0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G_0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630" cy="272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2E20" w:rsidRDefault="00A12E20" w:rsidP="00A12E20">
      <w:pPr>
        <w:tabs>
          <w:tab w:val="left" w:pos="7359"/>
        </w:tabs>
        <w:rPr>
          <w:sz w:val="36"/>
          <w:szCs w:val="36"/>
          <w:rtl/>
          <w:lang w:bidi="ar-DZ"/>
        </w:rPr>
      </w:pPr>
      <w:r>
        <w:rPr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pt;margin-top:2.75pt;width:215.55pt;height:3in;z-index:251660288;mso-wrap-style:none;mso-position-horizontal-relative:text;mso-position-vertical-relative:text">
            <v:textbox>
              <w:txbxContent>
                <w:p w:rsidR="00A12E20" w:rsidRDefault="00A12E20" w:rsidP="00A12E20">
                  <w:r>
                    <w:rPr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2545715" cy="2578735"/>
                        <wp:effectExtent l="19050" t="0" r="6985" b="0"/>
                        <wp:docPr id="14" name="Image 22" descr="IMG_00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IMG_0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5715" cy="25787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12E20" w:rsidRDefault="00A12E20" w:rsidP="00A12E20">
      <w:pPr>
        <w:tabs>
          <w:tab w:val="left" w:pos="7359"/>
        </w:tabs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A12E20" w:rsidRDefault="00A12E20" w:rsidP="00A12E20">
      <w:pPr>
        <w:tabs>
          <w:tab w:val="left" w:pos="7359"/>
        </w:tabs>
        <w:rPr>
          <w:sz w:val="36"/>
          <w:szCs w:val="36"/>
          <w:rtl/>
          <w:lang w:bidi="ar-DZ"/>
        </w:rPr>
      </w:pPr>
    </w:p>
    <w:p w:rsidR="00A12E20" w:rsidRDefault="00A12E20" w:rsidP="00A12E20">
      <w:pPr>
        <w:tabs>
          <w:tab w:val="left" w:pos="7359"/>
        </w:tabs>
        <w:rPr>
          <w:sz w:val="36"/>
          <w:szCs w:val="36"/>
          <w:rtl/>
          <w:lang w:bidi="ar-DZ"/>
        </w:rPr>
      </w:pPr>
    </w:p>
    <w:p w:rsidR="00A12E20" w:rsidRDefault="00A12E20" w:rsidP="00A12E20">
      <w:pPr>
        <w:tabs>
          <w:tab w:val="left" w:pos="7359"/>
        </w:tabs>
        <w:rPr>
          <w:sz w:val="36"/>
          <w:szCs w:val="36"/>
          <w:rtl/>
          <w:lang w:bidi="ar-DZ"/>
        </w:rPr>
      </w:pPr>
    </w:p>
    <w:p w:rsidR="00A12E20" w:rsidRDefault="00A12E20" w:rsidP="00A12E20">
      <w:pPr>
        <w:tabs>
          <w:tab w:val="left" w:pos="7359"/>
        </w:tabs>
        <w:rPr>
          <w:sz w:val="36"/>
          <w:szCs w:val="36"/>
          <w:rtl/>
          <w:lang w:bidi="ar-DZ"/>
        </w:rPr>
      </w:pPr>
    </w:p>
    <w:p w:rsidR="00A12E20" w:rsidRDefault="00A12E20" w:rsidP="00A12E20">
      <w:pPr>
        <w:tabs>
          <w:tab w:val="left" w:pos="7359"/>
        </w:tabs>
        <w:rPr>
          <w:sz w:val="36"/>
          <w:szCs w:val="36"/>
          <w:rtl/>
          <w:lang w:bidi="ar-DZ"/>
        </w:rPr>
      </w:pPr>
    </w:p>
    <w:p w:rsidR="00A12E20" w:rsidRPr="00235FA8" w:rsidRDefault="00A12E20" w:rsidP="00A12E20">
      <w:pPr>
        <w:tabs>
          <w:tab w:val="left" w:pos="651"/>
          <w:tab w:val="center" w:pos="4677"/>
        </w:tabs>
        <w:bidi/>
        <w:rPr>
          <w:rFonts w:cs="Traditional Arabic"/>
          <w:b/>
          <w:bCs/>
          <w:sz w:val="32"/>
          <w:szCs w:val="32"/>
          <w:rtl/>
        </w:rPr>
      </w:pPr>
      <w:r w:rsidRPr="00540A23">
        <w:rPr>
          <w:rFonts w:ascii="Sakkal Majalla" w:hAnsi="Sakkal Majalla" w:cs="Sakkal Majalla"/>
          <w:b/>
          <w:bCs/>
          <w:sz w:val="28"/>
          <w:szCs w:val="28"/>
          <w:rtl/>
        </w:rPr>
        <w:t>أ  : جثة ممددة في قبر من نوع الشوشة</w:t>
      </w:r>
      <w:r>
        <w:rPr>
          <w:rFonts w:cs="Traditional Arabic"/>
          <w:b/>
          <w:bCs/>
          <w:sz w:val="32"/>
          <w:szCs w:val="32"/>
          <w:rtl/>
        </w:rPr>
        <w:tab/>
      </w:r>
      <w:r w:rsidRPr="00E66D99">
        <w:rPr>
          <w:rFonts w:cs="Traditional Arabic" w:hint="cs"/>
          <w:b/>
          <w:bCs/>
          <w:sz w:val="32"/>
          <w:szCs w:val="32"/>
          <w:rtl/>
        </w:rPr>
        <w:t xml:space="preserve">                   </w:t>
      </w:r>
      <w:r w:rsidRPr="00540A23">
        <w:rPr>
          <w:rFonts w:ascii="Sakkal Majalla" w:hAnsi="Sakkal Majalla" w:cs="Sakkal Majalla"/>
          <w:b/>
          <w:bCs/>
          <w:sz w:val="28"/>
          <w:szCs w:val="28"/>
          <w:rtl/>
        </w:rPr>
        <w:t>ب : جثة مطوية في وضعية القرفصاء.</w:t>
      </w:r>
    </w:p>
    <w:p w:rsidR="00A12E20" w:rsidRPr="008F2A0D" w:rsidRDefault="00A12E20" w:rsidP="00260B0A">
      <w:pPr>
        <w:tabs>
          <w:tab w:val="left" w:pos="651"/>
        </w:tabs>
        <w:bidi/>
        <w:spacing w:after="0" w:line="240" w:lineRule="auto"/>
        <w:jc w:val="right"/>
        <w:rPr>
          <w:b/>
          <w:bCs/>
          <w:lang w:bidi="ar-DZ"/>
        </w:rPr>
      </w:pPr>
      <w:r>
        <w:rPr>
          <w:sz w:val="36"/>
          <w:szCs w:val="36"/>
          <w:rtl/>
          <w:lang w:bidi="ar-DZ"/>
        </w:rPr>
        <w:tab/>
      </w: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</w:t>
      </w:r>
      <w:r w:rsidRPr="00540A23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– المصدر:</w:t>
      </w:r>
      <w:r w:rsidRPr="00E66D99">
        <w:rPr>
          <w:rFonts w:cs="Traditional Arabic"/>
          <w:b/>
          <w:bCs/>
          <w:lang w:bidi="ar-DZ"/>
        </w:rPr>
        <w:t>-</w:t>
      </w:r>
      <w:r>
        <w:rPr>
          <w:b/>
          <w:bCs/>
          <w:lang w:bidi="ar-DZ"/>
        </w:rPr>
        <w:t xml:space="preserve"> R. Le Du et Seree de Roch, Op-Cit.,</w:t>
      </w:r>
    </w:p>
    <w:p w:rsidR="00A12E20" w:rsidRPr="00905A1D" w:rsidRDefault="00A12E20" w:rsidP="00260B0A">
      <w:pPr>
        <w:tabs>
          <w:tab w:val="left" w:pos="651"/>
        </w:tabs>
        <w:bidi/>
        <w:spacing w:after="0" w:line="240" w:lineRule="auto"/>
        <w:rPr>
          <w:b/>
          <w:bCs/>
          <w:sz w:val="32"/>
          <w:szCs w:val="32"/>
          <w:rtl/>
        </w:rPr>
      </w:pPr>
      <w:r w:rsidRPr="00540A23">
        <w:rPr>
          <w:rFonts w:ascii="Sakkal Majalla" w:hAnsi="Sakkal Majalla" w:cs="Sakkal Majalla"/>
          <w:b/>
          <w:bCs/>
          <w:sz w:val="28"/>
          <w:szCs w:val="28"/>
          <w:rtl/>
        </w:rPr>
        <w:t>- المصدر:</w:t>
      </w:r>
      <w:r w:rsidRPr="00E66D99">
        <w:rPr>
          <w:rFonts w:cs="Traditional Arabic"/>
          <w:b/>
          <w:bCs/>
        </w:rPr>
        <w:t>- Reygasse (M. ),monuments</w:t>
      </w:r>
      <w:r>
        <w:rPr>
          <w:b/>
          <w:bCs/>
        </w:rPr>
        <w:t xml:space="preserve">       </w:t>
      </w:r>
      <w:r>
        <w:rPr>
          <w:rFonts w:hint="cs"/>
          <w:b/>
          <w:bCs/>
          <w:sz w:val="32"/>
          <w:szCs w:val="32"/>
          <w:rtl/>
        </w:rPr>
        <w:t xml:space="preserve">    </w:t>
      </w:r>
      <w:r>
        <w:rPr>
          <w:b/>
          <w:bCs/>
          <w:sz w:val="32"/>
          <w:szCs w:val="32"/>
        </w:rPr>
        <w:t xml:space="preserve">    </w:t>
      </w:r>
      <w:r>
        <w:rPr>
          <w:rFonts w:hint="cs"/>
          <w:b/>
          <w:bCs/>
          <w:sz w:val="32"/>
          <w:szCs w:val="32"/>
          <w:rtl/>
        </w:rPr>
        <w:t xml:space="preserve">       </w:t>
      </w:r>
      <w:r>
        <w:rPr>
          <w:b/>
          <w:bCs/>
        </w:rPr>
        <w:t xml:space="preserve">P.144 .                                    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</w:t>
      </w:r>
    </w:p>
    <w:p w:rsidR="00A12E20" w:rsidRDefault="00A12E20" w:rsidP="00260B0A">
      <w:pPr>
        <w:tabs>
          <w:tab w:val="left" w:pos="5844"/>
        </w:tabs>
        <w:bidi/>
        <w:spacing w:after="0" w:line="240" w:lineRule="auto"/>
        <w:rPr>
          <w:sz w:val="36"/>
          <w:szCs w:val="36"/>
          <w:rtl/>
        </w:rPr>
      </w:pPr>
      <w:r>
        <w:rPr>
          <w:b/>
          <w:bCs/>
        </w:rPr>
        <w:t>Funéraires préislamiques de l’Afrique du nord,</w:t>
      </w:r>
      <w:r>
        <w:rPr>
          <w:sz w:val="36"/>
          <w:szCs w:val="36"/>
          <w:rtl/>
        </w:rPr>
        <w:tab/>
      </w:r>
    </w:p>
    <w:p w:rsidR="00260B0A" w:rsidRDefault="00A12E20" w:rsidP="00260B0A">
      <w:pPr>
        <w:tabs>
          <w:tab w:val="left" w:pos="651"/>
        </w:tabs>
        <w:bidi/>
        <w:spacing w:after="0" w:line="240" w:lineRule="auto"/>
        <w:rPr>
          <w:b/>
          <w:bCs/>
        </w:rPr>
      </w:pPr>
      <w:r>
        <w:rPr>
          <w:b/>
          <w:bCs/>
        </w:rPr>
        <w:t xml:space="preserve">arts et métiers graphiques, Paris, 1950, P. 64 . </w:t>
      </w:r>
    </w:p>
    <w:p w:rsidR="00260B0A" w:rsidRDefault="00260B0A" w:rsidP="00260B0A">
      <w:pPr>
        <w:tabs>
          <w:tab w:val="left" w:pos="651"/>
        </w:tabs>
        <w:bidi/>
        <w:spacing w:after="0" w:line="240" w:lineRule="auto"/>
        <w:rPr>
          <w:b/>
          <w:bCs/>
        </w:rPr>
      </w:pPr>
    </w:p>
    <w:p w:rsidR="00A12E20" w:rsidRPr="00260B0A" w:rsidRDefault="00A12E20" w:rsidP="00260B0A">
      <w:pPr>
        <w:tabs>
          <w:tab w:val="left" w:pos="651"/>
        </w:tabs>
        <w:bidi/>
        <w:spacing w:after="0" w:line="240" w:lineRule="auto"/>
        <w:rPr>
          <w:b/>
          <w:bCs/>
          <w:rtl/>
        </w:rPr>
      </w:pPr>
      <w:r>
        <w:rPr>
          <w:rFonts w:hint="cs"/>
          <w:sz w:val="36"/>
          <w:szCs w:val="36"/>
          <w:rtl/>
          <w:lang w:bidi="ar-DZ"/>
        </w:rPr>
        <w:t xml:space="preserve">                              </w:t>
      </w:r>
    </w:p>
    <w:p w:rsidR="00A12E20" w:rsidRPr="00260B0A" w:rsidRDefault="00A12E20" w:rsidP="00260B0A">
      <w:pPr>
        <w:tabs>
          <w:tab w:val="right" w:pos="9354"/>
        </w:tabs>
        <w:spacing w:after="0"/>
        <w:jc w:val="center"/>
        <w:rPr>
          <w:sz w:val="36"/>
          <w:szCs w:val="36"/>
          <w:rtl/>
          <w:lang w:bidi="ar-DZ"/>
        </w:rPr>
      </w:pPr>
      <w:r>
        <w:rPr>
          <w:noProof/>
          <w:sz w:val="36"/>
          <w:szCs w:val="36"/>
        </w:rPr>
        <w:drawing>
          <wp:inline distT="0" distB="0" distL="0" distR="0">
            <wp:extent cx="2660650" cy="2693670"/>
            <wp:effectExtent l="19050" t="0" r="6350" b="0"/>
            <wp:docPr id="17" name="Image 30" descr="IMG_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_00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269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E20" w:rsidRPr="00540A23" w:rsidRDefault="00A12E20" w:rsidP="00A12E20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66D99">
        <w:rPr>
          <w:rFonts w:cs="Traditional Arabic" w:hint="cs"/>
          <w:b/>
          <w:bCs/>
          <w:sz w:val="28"/>
          <w:szCs w:val="28"/>
          <w:rtl/>
        </w:rPr>
        <w:t xml:space="preserve">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</w:t>
      </w:r>
      <w:r w:rsidRPr="00E66D99"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Pr="00540A23">
        <w:rPr>
          <w:rFonts w:ascii="Sakkal Majalla" w:hAnsi="Sakkal Majalla" w:cs="Sakkal Majalla"/>
          <w:b/>
          <w:bCs/>
          <w:sz w:val="28"/>
          <w:szCs w:val="28"/>
          <w:rtl/>
        </w:rPr>
        <w:t>ج : جثة مطوية بما يقترب من شكل الجنين .</w:t>
      </w:r>
    </w:p>
    <w:p w:rsidR="00A12E20" w:rsidRPr="00E079A8" w:rsidRDefault="00A12E20" w:rsidP="00A12E20">
      <w:pPr>
        <w:bidi/>
        <w:rPr>
          <w:rFonts w:cs="Traditional Arabic"/>
          <w:sz w:val="36"/>
          <w:szCs w:val="36"/>
          <w:rtl/>
        </w:rPr>
      </w:pPr>
      <w:r w:rsidRPr="00540A23">
        <w:rPr>
          <w:rFonts w:ascii="Sakkal Majalla" w:hAnsi="Sakkal Majalla" w:cs="Sakkal Majalla"/>
          <w:sz w:val="28"/>
          <w:szCs w:val="28"/>
          <w:rtl/>
        </w:rPr>
        <w:t xml:space="preserve">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</w:t>
      </w:r>
      <w:r w:rsidRPr="00540A23">
        <w:rPr>
          <w:rFonts w:ascii="Sakkal Majalla" w:hAnsi="Sakkal Majalla" w:cs="Sakkal Majalla"/>
          <w:sz w:val="28"/>
          <w:szCs w:val="28"/>
          <w:rtl/>
        </w:rPr>
        <w:t xml:space="preserve">            </w:t>
      </w:r>
      <w:r w:rsidRPr="00540A23">
        <w:rPr>
          <w:rFonts w:ascii="Sakkal Majalla" w:hAnsi="Sakkal Majalla" w:cs="Sakkal Majalla"/>
          <w:b/>
          <w:bCs/>
          <w:sz w:val="28"/>
          <w:szCs w:val="28"/>
          <w:rtl/>
        </w:rPr>
        <w:t>- المرجع :</w:t>
      </w:r>
      <w:r w:rsidRPr="00E66D99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E66D99">
        <w:rPr>
          <w:rFonts w:cs="Traditional Arabic"/>
          <w:b/>
          <w:bCs/>
        </w:rPr>
        <w:t>- R. le Du et Seree le Roch, Op-Cit</w:t>
      </w:r>
      <w:r>
        <w:rPr>
          <w:rFonts w:cs="Traditional Arabic"/>
          <w:b/>
          <w:bCs/>
        </w:rPr>
        <w:t>.</w:t>
      </w:r>
      <w:r w:rsidRPr="00E66D99">
        <w:rPr>
          <w:rFonts w:cs="Traditional Arabic"/>
          <w:b/>
          <w:bCs/>
        </w:rPr>
        <w:t xml:space="preserve">, P. 143 . </w:t>
      </w:r>
      <w:r w:rsidRPr="00E66D99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E66D99">
        <w:rPr>
          <w:rFonts w:cs="Traditional Arabic" w:hint="cs"/>
          <w:sz w:val="36"/>
          <w:szCs w:val="36"/>
          <w:rtl/>
        </w:rPr>
        <w:t xml:space="preserve">   </w:t>
      </w:r>
    </w:p>
    <w:p w:rsidR="00A12E20" w:rsidRPr="001D66CA" w:rsidRDefault="00A12E20" w:rsidP="00260B0A">
      <w:pPr>
        <w:tabs>
          <w:tab w:val="left" w:pos="651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260B0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</w:t>
      </w:r>
      <w:r w:rsidRPr="001D66C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- الشكل رقم  5  : نماذج من وضعيات دفن الجثث .</w:t>
      </w:r>
    </w:p>
    <w:p w:rsidR="00260B0A" w:rsidRDefault="00260B0A" w:rsidP="00260B0A">
      <w:pPr>
        <w:bidi/>
        <w:rPr>
          <w:rFonts w:cs="Traditional Arabic"/>
          <w:sz w:val="36"/>
          <w:szCs w:val="36"/>
          <w:rtl/>
          <w:lang w:bidi="ar-DZ"/>
        </w:rPr>
      </w:pPr>
    </w:p>
    <w:p w:rsidR="00A12E20" w:rsidRPr="004240AF" w:rsidRDefault="00A12E20" w:rsidP="00D46A8F">
      <w:pPr>
        <w:tabs>
          <w:tab w:val="left" w:pos="651"/>
        </w:tabs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lastRenderedPageBreak/>
        <w:t>عودة أرواح الأموات لإيذاء الأحياء ، فيكون نثر العظام لمنع الروح</w:t>
      </w:r>
      <w:r w:rsidRPr="004240AF">
        <w:rPr>
          <w:rFonts w:ascii="Sakkal Majalla" w:hAnsi="Sakkal Majalla" w:cs="Sakkal Majalla"/>
          <w:sz w:val="32"/>
          <w:szCs w:val="32"/>
          <w:lang w:val="en-GB" w:bidi="ar-DZ"/>
        </w:rPr>
        <w:t xml:space="preserve">  </w:t>
      </w:r>
      <w:r w:rsidRPr="004240AF">
        <w:rPr>
          <w:rFonts w:ascii="Sakkal Majalla" w:hAnsi="Sakkal Majalla" w:cs="Sakkal Majalla"/>
          <w:sz w:val="32"/>
          <w:szCs w:val="32"/>
          <w:rtl/>
          <w:lang w:val="en-GB" w:bidi="ar-DZ"/>
        </w:rPr>
        <w:t>من</w:t>
      </w:r>
      <w:r w:rsidRPr="004240AF">
        <w:rPr>
          <w:rFonts w:ascii="Sakkal Majalla" w:hAnsi="Sakkal Majalla" w:cs="Sakkal Majalla"/>
          <w:sz w:val="32"/>
          <w:szCs w:val="32"/>
          <w:lang w:val="en-GB" w:bidi="ar-DZ"/>
        </w:rPr>
        <w:t xml:space="preserve">  </w:t>
      </w:r>
      <w:r w:rsidRPr="004240AF">
        <w:rPr>
          <w:rFonts w:ascii="Sakkal Majalla" w:hAnsi="Sakkal Majalla" w:cs="Sakkal Majalla"/>
          <w:sz w:val="32"/>
          <w:szCs w:val="32"/>
          <w:rtl/>
        </w:rPr>
        <w:t>ايجاد الجثة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(1)</w:t>
      </w:r>
      <w:r w:rsidRPr="004240AF">
        <w:rPr>
          <w:rFonts w:ascii="Sakkal Majalla" w:hAnsi="Sakkal Majalla" w:cs="Sakkal Majalla"/>
          <w:sz w:val="32"/>
          <w:szCs w:val="32"/>
          <w:rtl/>
        </w:rPr>
        <w:t>. كما يمكن أن يدل الدف</w:t>
      </w:r>
      <w:r w:rsidRPr="004240AF">
        <w:rPr>
          <w:rFonts w:ascii="Sakkal Majalla" w:hAnsi="Sakkal Majalla" w:cs="Sakkal Majalla"/>
          <w:sz w:val="32"/>
          <w:szCs w:val="32"/>
          <w:rtl/>
          <w:lang w:bidi="ar-DZ"/>
        </w:rPr>
        <w:t>ـ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ن الجماعي الأسري أن الصلة لا تنـقطع بالموت بين الشخص والخلـية الاجتماعية التي ينتمي إليها و هي الأسرة 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(2)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.</w:t>
      </w:r>
    </w:p>
    <w:p w:rsidR="00A12E20" w:rsidRPr="004240AF" w:rsidRDefault="00A12E20" w:rsidP="00D46A8F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240AF">
        <w:rPr>
          <w:rFonts w:ascii="Sakkal Majalla" w:hAnsi="Sakkal Majalla" w:cs="Sakkal Majalla"/>
          <w:b/>
          <w:bCs/>
          <w:sz w:val="32"/>
          <w:szCs w:val="32"/>
          <w:rtl/>
        </w:rPr>
        <w:t>ب -</w:t>
      </w:r>
      <w:r w:rsidRPr="004240AF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الطـلاء </w:t>
      </w:r>
      <w:r w:rsidRPr="004240A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بالمغــرة :  </w:t>
      </w:r>
    </w:p>
    <w:p w:rsidR="00A12E20" w:rsidRPr="004240AF" w:rsidRDefault="00A12E20" w:rsidP="00D46A8F">
      <w:pPr>
        <w:pStyle w:val="Titre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 xml:space="preserve">       ويعتبر صبغ العظام بالمغرة من الممارسات الشائعة عند المغاربة القدماء حيث كانت تطلى بها جدران القبور أو أجساد الأمـوات فقد عثر على بقاياها في العديد من الكهوف بالغرب الجزائري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>العائدة إلى الحضارة العاترية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(3)</w:t>
      </w:r>
      <w:r w:rsidRPr="004240AF">
        <w:rPr>
          <w:rFonts w:ascii="Sakkal Majalla" w:hAnsi="Sakkal Majalla" w:cs="Sakkal Majalla"/>
          <w:sz w:val="32"/>
          <w:szCs w:val="32"/>
          <w:rtl/>
        </w:rPr>
        <w:t>، و استمرت ممارستها خلال الحضارة القفصية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(4)</w:t>
      </w:r>
      <w:r w:rsidRPr="004240AF">
        <w:rPr>
          <w:rFonts w:ascii="Sakkal Majalla" w:hAnsi="Sakkal Majalla" w:cs="Sakkal Majalla"/>
          <w:sz w:val="32"/>
          <w:szCs w:val="32"/>
          <w:rtl/>
        </w:rPr>
        <w:t>، و أيضا في كهوف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>تعود للعصر الحجري الحديث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(5)</w:t>
      </w:r>
      <w:r w:rsidRPr="004240AF">
        <w:rPr>
          <w:rFonts w:ascii="Sakkal Majalla" w:hAnsi="Sakkal Majalla" w:cs="Sakkal Majalla"/>
          <w:sz w:val="32"/>
          <w:szCs w:val="32"/>
          <w:rtl/>
        </w:rPr>
        <w:t>،كما يذكر هيرودوت أن الماكسيس(</w:t>
      </w:r>
      <w:r w:rsidRPr="004240AF">
        <w:rPr>
          <w:rFonts w:ascii="Sakkal Majalla" w:hAnsi="Sakkal Majalla" w:cs="Sakkal Majalla"/>
          <w:sz w:val="32"/>
          <w:szCs w:val="32"/>
        </w:rPr>
        <w:t xml:space="preserve">Les Maxyes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)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(6)</w:t>
      </w:r>
      <w:r w:rsidRPr="004240A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>و الجيزانت</w:t>
      </w:r>
      <w:r w:rsidR="00D46A8F">
        <w:rPr>
          <w:rFonts w:ascii="Sakkal Majalla" w:hAnsi="Sakkal Majalla" w:cs="Sakkal Majalla"/>
          <w:sz w:val="32"/>
          <w:szCs w:val="32"/>
        </w:rPr>
        <w:t>Les Gyzante</w:t>
      </w:r>
      <w:r w:rsidRPr="004240AF">
        <w:rPr>
          <w:rFonts w:ascii="Sakkal Majalla" w:hAnsi="Sakkal Majalla" w:cs="Sakkal Majalla"/>
          <w:sz w:val="32"/>
          <w:szCs w:val="32"/>
        </w:rPr>
        <w:t xml:space="preserve"> 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)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(7)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كانوا يستعملون المغرة 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(8)</w:t>
      </w:r>
      <w:r w:rsidRPr="004240AF">
        <w:rPr>
          <w:rFonts w:ascii="Sakkal Majalla" w:hAnsi="Sakkal Majalla" w:cs="Sakkal Majalla"/>
          <w:sz w:val="32"/>
          <w:szCs w:val="32"/>
          <w:rtl/>
        </w:rPr>
        <w:t>، و قد استمرت الظاهرة خلال العهد البوني و حتى العهد الروماني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  <w:lang w:bidi="ar-DZ"/>
        </w:rPr>
        <w:t>(9)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.</w:t>
      </w:r>
    </w:p>
    <w:p w:rsidR="00A12E20" w:rsidRPr="004240AF" w:rsidRDefault="00A12E20" w:rsidP="00D46A8F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240AF">
        <w:rPr>
          <w:rFonts w:ascii="Sakkal Majalla" w:hAnsi="Sakkal Majalla" w:cs="Sakkal Majalla"/>
          <w:sz w:val="32"/>
          <w:szCs w:val="32"/>
          <w:lang w:val="en-GB"/>
        </w:rPr>
        <w:t xml:space="preserve">   </w:t>
      </w:r>
      <w:r w:rsidRPr="004240AF">
        <w:rPr>
          <w:rFonts w:ascii="Sakkal Majalla" w:hAnsi="Sakkal Majalla" w:cs="Sakkal Majalla"/>
          <w:sz w:val="32"/>
          <w:szCs w:val="32"/>
          <w:rtl/>
        </w:rPr>
        <w:t>أما اللون الأحمر فقد كانوا يستعملون في الحصول عليه مواد ملوّنة مختافة أهمها  الطين الأحمر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(10)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أو بقـايا أكسيد الحديد (</w:t>
      </w:r>
      <w:r w:rsidRPr="004240AF">
        <w:rPr>
          <w:rFonts w:ascii="Sakkal Majalla" w:hAnsi="Sakkal Majalla" w:cs="Sakkal Majalla"/>
          <w:sz w:val="32"/>
          <w:szCs w:val="32"/>
        </w:rPr>
        <w:t>Hématique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)، و يرى(ج.كامبس) أن اللون الأحمر هو المـهم ، مهما كانت نوعية المواد المستعملة في الحصول عليه 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(11)</w:t>
      </w:r>
      <w:r w:rsidRPr="004240AF">
        <w:rPr>
          <w:rFonts w:ascii="Sakkal Majalla" w:hAnsi="Sakkal Majalla" w:cs="Sakkal Majalla"/>
          <w:sz w:val="32"/>
          <w:szCs w:val="32"/>
          <w:rtl/>
        </w:rPr>
        <w:t>، فاللون الأحمر الذي تطلى به  الجثة قد يدل على استمرار</w:t>
      </w:r>
      <w:r w:rsidRPr="004240A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>سريان الدم فيها لأنه في نظرهم يعوّض الدم الحقيقي ، لذلك يقصد به إعادة القوة للميت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(12)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، أو هو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</w:t>
      </w:r>
      <w:r w:rsidRPr="004240AF">
        <w:rPr>
          <w:rFonts w:ascii="Sakkal Majalla" w:hAnsi="Sakkal Majalla" w:cs="Sakkal Majalla"/>
          <w:sz w:val="32"/>
          <w:szCs w:val="32"/>
          <w:rtl/>
        </w:rPr>
        <w:t>نوع من الزاد</w:t>
      </w:r>
    </w:p>
    <w:p w:rsidR="00A12E20" w:rsidRPr="00F42C13" w:rsidRDefault="00A12E20" w:rsidP="00D46A8F">
      <w:pPr>
        <w:bidi/>
        <w:spacing w:after="0" w:line="240" w:lineRule="auto"/>
        <w:rPr>
          <w:rFonts w:cs="Traditional Arabic"/>
          <w:szCs w:val="36"/>
          <w:rtl/>
          <w:lang w:bidi="ar-DZ"/>
        </w:rPr>
      </w:pPr>
      <w:r w:rsidRPr="00F42C13">
        <w:rPr>
          <w:rFonts w:cs="Traditional Arabic" w:hint="cs"/>
          <w:szCs w:val="36"/>
          <w:rtl/>
          <w:lang w:bidi="ar-DZ"/>
        </w:rPr>
        <w:t>ــــــــــــــــــــــــ</w:t>
      </w:r>
      <w:r>
        <w:rPr>
          <w:rFonts w:cs="Traditional Arabic" w:hint="cs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F42C13">
        <w:rPr>
          <w:rFonts w:cs="Traditional Arabic" w:hint="cs"/>
          <w:szCs w:val="36"/>
          <w:rtl/>
          <w:lang w:bidi="ar-DZ"/>
        </w:rPr>
        <w:t xml:space="preserve"> </w:t>
      </w:r>
    </w:p>
    <w:p w:rsidR="00A12E20" w:rsidRPr="00105F7F" w:rsidRDefault="00A12E20" w:rsidP="00D46A8F">
      <w:pPr>
        <w:tabs>
          <w:tab w:val="left" w:pos="1218"/>
        </w:tabs>
        <w:bidi/>
        <w:spacing w:after="0" w:line="240" w:lineRule="auto"/>
        <w:rPr>
          <w:rFonts w:cs="Traditional Arabic"/>
          <w:szCs w:val="36"/>
          <w:rtl/>
          <w:lang w:val="en-US"/>
        </w:rPr>
      </w:pPr>
      <w:r w:rsidRPr="001D66CA">
        <w:rPr>
          <w:rFonts w:ascii="Sakkal Majalla" w:hAnsi="Sakkal Majalla" w:cs="Sakkal Majalla"/>
          <w:rtl/>
          <w:lang w:bidi="ar-DZ"/>
        </w:rPr>
        <w:t>(1)</w:t>
      </w:r>
      <w:r w:rsidRPr="00F42C13">
        <w:rPr>
          <w:rFonts w:cs="Traditional Arabic" w:hint="cs"/>
          <w:rtl/>
          <w:lang w:bidi="ar-DZ"/>
        </w:rPr>
        <w:t xml:space="preserve"> </w:t>
      </w:r>
      <w:r w:rsidRPr="00105F7F">
        <w:rPr>
          <w:rFonts w:cs="Traditional Arabic"/>
          <w:lang w:val="en-US" w:bidi="ar-DZ"/>
        </w:rPr>
        <w:t xml:space="preserve">– Gsell( S. ), H. A. A. N., T.6, PP. 238 – 239 ;                   </w:t>
      </w:r>
      <w:r w:rsidR="00D46A8F">
        <w:rPr>
          <w:rFonts w:cs="Traditional Arabic"/>
          <w:lang w:bidi="ar-DZ"/>
        </w:rPr>
        <w:t xml:space="preserve">                           </w:t>
      </w:r>
      <w:r w:rsidRPr="00105F7F">
        <w:rPr>
          <w:rFonts w:cs="Traditional Arabic"/>
          <w:lang w:val="en-US" w:bidi="ar-DZ"/>
        </w:rPr>
        <w:t xml:space="preserve">                                                          </w:t>
      </w:r>
    </w:p>
    <w:p w:rsidR="00A12E20" w:rsidRPr="00540A23" w:rsidRDefault="00A12E20" w:rsidP="00D46A8F">
      <w:pPr>
        <w:bidi/>
        <w:spacing w:after="0" w:line="240" w:lineRule="auto"/>
        <w:rPr>
          <w:rFonts w:ascii="Sakkal Majalla" w:hAnsi="Sakkal Majalla" w:cs="Sakkal Majalla"/>
          <w:rtl/>
          <w:lang w:bidi="ar-DZ"/>
        </w:rPr>
      </w:pPr>
      <w:r w:rsidRPr="00F42C13">
        <w:rPr>
          <w:rFonts w:cs="Traditional Arabic" w:hint="cs"/>
          <w:rtl/>
          <w:lang w:bidi="ar-DZ"/>
        </w:rPr>
        <w:t xml:space="preserve">    </w:t>
      </w:r>
      <w:r w:rsidRPr="00540A23">
        <w:rPr>
          <w:rFonts w:ascii="Sakkal Majalla" w:hAnsi="Sakkal Majalla" w:cs="Sakkal Majalla"/>
          <w:rtl/>
          <w:lang w:bidi="ar-DZ"/>
        </w:rPr>
        <w:t>و يفسّر ليفي برول هذا ب " لامنطقية العقلية البدائية " فهي – حسبـه – تستبعد التناقض و تقبل أن يكون الميت غائبا و حاضرا في أمكنة  كثيرة في الوقت نفسه . فيليسيان شالي ، المرجع السابق ، ص . 40.</w:t>
      </w:r>
      <w:r w:rsidRPr="00F42C13">
        <w:rPr>
          <w:rFonts w:cs="Traditional Arabic" w:hint="cs"/>
          <w:rtl/>
          <w:lang w:bidi="ar-DZ"/>
        </w:rPr>
        <w:t xml:space="preserve"> </w:t>
      </w:r>
    </w:p>
    <w:p w:rsidR="00A12E20" w:rsidRPr="00F42C13" w:rsidRDefault="00A12E20" w:rsidP="00D46A8F">
      <w:pPr>
        <w:bidi/>
        <w:spacing w:after="0" w:line="240" w:lineRule="auto"/>
        <w:rPr>
          <w:rFonts w:cs="Traditional Arabic"/>
          <w:lang w:bidi="ar-DZ"/>
        </w:rPr>
      </w:pPr>
      <w:r w:rsidRPr="001D66CA">
        <w:rPr>
          <w:rFonts w:ascii="Sakkal Majalla" w:hAnsi="Sakkal Majalla" w:cs="Sakkal Majalla"/>
          <w:rtl/>
          <w:lang w:bidi="ar-DZ"/>
        </w:rPr>
        <w:t>(2)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  <w:lang w:bidi="ar-DZ"/>
        </w:rPr>
        <w:t>– Camps ( G. ), Op – Cit</w:t>
      </w:r>
      <w:r>
        <w:rPr>
          <w:rFonts w:cs="Traditional Arabic"/>
          <w:lang w:bidi="ar-DZ"/>
        </w:rPr>
        <w:t>.</w:t>
      </w:r>
      <w:r w:rsidRPr="00F42C13">
        <w:rPr>
          <w:rFonts w:cs="Traditional Arabic"/>
          <w:lang w:bidi="ar-DZ"/>
        </w:rPr>
        <w:t xml:space="preserve">, P. 436.             </w:t>
      </w:r>
      <w:r w:rsidR="00D46A8F">
        <w:rPr>
          <w:rFonts w:cs="Traditional Arabic"/>
          <w:lang w:bidi="ar-DZ"/>
        </w:rPr>
        <w:t xml:space="preserve"> </w:t>
      </w:r>
      <w:r w:rsidRPr="00F42C13">
        <w:rPr>
          <w:rFonts w:cs="Traditional Arabic"/>
          <w:lang w:bidi="ar-DZ"/>
        </w:rPr>
        <w:t xml:space="preserve">   </w:t>
      </w:r>
      <w:r w:rsidR="00D46A8F">
        <w:rPr>
          <w:rFonts w:cs="Traditional Arabic"/>
          <w:lang w:bidi="ar-DZ"/>
        </w:rPr>
        <w:t xml:space="preserve">                            </w:t>
      </w:r>
      <w:r w:rsidRPr="00F42C13">
        <w:rPr>
          <w:rFonts w:cs="Traditional Arabic"/>
          <w:lang w:bidi="ar-DZ"/>
        </w:rPr>
        <w:t xml:space="preserve">                                                                                </w:t>
      </w:r>
    </w:p>
    <w:p w:rsidR="00A12E20" w:rsidRPr="00F42C13" w:rsidRDefault="00A12E20" w:rsidP="00D46A8F">
      <w:pPr>
        <w:bidi/>
        <w:spacing w:after="0" w:line="240" w:lineRule="auto"/>
        <w:rPr>
          <w:rFonts w:cs="Traditional Arabic"/>
          <w:lang w:bidi="ar-DZ"/>
        </w:rPr>
      </w:pPr>
      <w:r w:rsidRPr="001D66CA">
        <w:rPr>
          <w:rFonts w:ascii="Sakkal Majalla" w:hAnsi="Sakkal Majalla" w:cs="Sakkal Majalla"/>
          <w:rtl/>
          <w:lang w:bidi="ar-DZ"/>
        </w:rPr>
        <w:t>(3)</w:t>
      </w:r>
      <w:r w:rsidRPr="00F42C13">
        <w:rPr>
          <w:rFonts w:cs="Traditional Arabic"/>
          <w:lang w:bidi="ar-DZ"/>
        </w:rPr>
        <w:t xml:space="preserve"> – Cadenat ( P. ), « Contribution à l’étude de l’industrie de l’Ocre », dans actes du 2</w:t>
      </w:r>
      <w:r w:rsidRPr="00F42C13">
        <w:rPr>
          <w:rFonts w:cs="Traditional Arabic"/>
          <w:vertAlign w:val="superscript"/>
          <w:lang w:bidi="ar-DZ"/>
        </w:rPr>
        <w:t>ème</w:t>
      </w:r>
      <w:r w:rsidRPr="00F42C13">
        <w:rPr>
          <w:rFonts w:cs="Traditional Arabic"/>
          <w:lang w:bidi="ar-DZ"/>
        </w:rPr>
        <w:t xml:space="preserve">  cong</w:t>
      </w:r>
      <w:r>
        <w:rPr>
          <w:rFonts w:cs="Traditional Arabic"/>
          <w:lang w:bidi="ar-DZ"/>
        </w:rPr>
        <w:t>.</w:t>
      </w:r>
      <w:r w:rsidRPr="00F42C13">
        <w:rPr>
          <w:rFonts w:cs="Traditional Arabic"/>
          <w:lang w:bidi="ar-DZ"/>
        </w:rPr>
        <w:t xml:space="preserve">   </w:t>
      </w:r>
      <w:r w:rsidR="00D46A8F">
        <w:rPr>
          <w:rFonts w:cs="Traditional Arabic"/>
          <w:lang w:bidi="ar-DZ"/>
        </w:rPr>
        <w:t xml:space="preserve">         </w:t>
      </w:r>
      <w:r w:rsidRPr="00F42C13">
        <w:rPr>
          <w:rFonts w:cs="Traditional Arabic"/>
          <w:lang w:bidi="ar-DZ"/>
        </w:rPr>
        <w:t xml:space="preserve">       Panafricain, P. 509 .                         </w:t>
      </w:r>
      <w:r w:rsidR="00D46A8F">
        <w:rPr>
          <w:rFonts w:cs="Traditional Arabic"/>
          <w:lang w:bidi="ar-DZ"/>
        </w:rPr>
        <w:t xml:space="preserve">                                  </w:t>
      </w:r>
      <w:r w:rsidRPr="00F42C13">
        <w:rPr>
          <w:rFonts w:cs="Traditional Arabic"/>
          <w:lang w:bidi="ar-DZ"/>
        </w:rPr>
        <w:t xml:space="preserve">                                                                                      </w:t>
      </w:r>
    </w:p>
    <w:p w:rsidR="00A12E20" w:rsidRPr="00F42C13" w:rsidRDefault="00A12E20" w:rsidP="00D46A8F">
      <w:pPr>
        <w:bidi/>
        <w:spacing w:after="0" w:line="240" w:lineRule="auto"/>
        <w:rPr>
          <w:rFonts w:cs="Traditional Arabic"/>
          <w:rtl/>
          <w:lang w:bidi="ar-DZ"/>
        </w:rPr>
      </w:pPr>
      <w:r w:rsidRPr="001D66CA">
        <w:rPr>
          <w:rFonts w:ascii="Sakkal Majalla" w:hAnsi="Sakkal Majalla" w:cs="Sakkal Majalla"/>
          <w:rtl/>
          <w:lang w:bidi="ar-DZ"/>
        </w:rPr>
        <w:t>(4)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  <w:lang w:bidi="ar-DZ"/>
        </w:rPr>
        <w:t>– Camps ( G. ) Op – Cit</w:t>
      </w:r>
      <w:r>
        <w:rPr>
          <w:rFonts w:cs="Traditional Arabic"/>
          <w:lang w:bidi="ar-DZ"/>
        </w:rPr>
        <w:t>.</w:t>
      </w:r>
      <w:r w:rsidRPr="00F42C13">
        <w:rPr>
          <w:rFonts w:cs="Traditional Arabic"/>
          <w:lang w:bidi="ar-DZ"/>
        </w:rPr>
        <w:t xml:space="preserve"> , P. 522 .        </w:t>
      </w:r>
      <w:r w:rsidR="00D46A8F">
        <w:rPr>
          <w:rFonts w:cs="Traditional Arabic"/>
          <w:lang w:bidi="ar-DZ"/>
        </w:rPr>
        <w:t xml:space="preserve"> </w:t>
      </w:r>
      <w:r w:rsidRPr="00F42C13">
        <w:rPr>
          <w:rFonts w:cs="Traditional Arabic"/>
          <w:lang w:bidi="ar-DZ"/>
        </w:rPr>
        <w:t xml:space="preserve">      </w:t>
      </w:r>
      <w:r w:rsidR="00D46A8F">
        <w:rPr>
          <w:rFonts w:cs="Traditional Arabic"/>
          <w:lang w:bidi="ar-DZ"/>
        </w:rPr>
        <w:t xml:space="preserve">                           </w:t>
      </w:r>
      <w:r w:rsidRPr="00F42C13">
        <w:rPr>
          <w:rFonts w:cs="Traditional Arabic"/>
          <w:lang w:bidi="ar-DZ"/>
        </w:rPr>
        <w:t xml:space="preserve">                                                                                  </w:t>
      </w:r>
      <w:r w:rsidRPr="00F42C13">
        <w:rPr>
          <w:rFonts w:cs="Traditional Arabic" w:hint="cs"/>
          <w:rtl/>
        </w:rPr>
        <w:t xml:space="preserve"> </w:t>
      </w:r>
      <w:r w:rsidR="00D46A8F">
        <w:rPr>
          <w:rFonts w:cs="Traditional Arabic" w:hint="cs"/>
          <w:rtl/>
          <w:lang w:bidi="ar-DZ"/>
        </w:rPr>
        <w:t xml:space="preserve">                        </w:t>
      </w:r>
      <w:r w:rsidRPr="001D66CA">
        <w:rPr>
          <w:rFonts w:ascii="Sakkal Majalla" w:hAnsi="Sakkal Majalla" w:cs="Sakkal Majalla"/>
          <w:rtl/>
        </w:rPr>
        <w:t>(5)</w:t>
      </w:r>
      <w:r w:rsidRPr="00F42C13">
        <w:rPr>
          <w:rFonts w:cs="Traditional Arabic" w:hint="cs"/>
          <w:rtl/>
        </w:rPr>
        <w:t xml:space="preserve"> </w:t>
      </w:r>
      <w:r w:rsidRPr="00493892">
        <w:rPr>
          <w:rFonts w:cs="Traditional Arabic"/>
        </w:rPr>
        <w:t>– Gsell</w:t>
      </w:r>
      <w:r>
        <w:rPr>
          <w:rFonts w:cs="Traditional Arabic"/>
        </w:rPr>
        <w:t xml:space="preserve"> </w:t>
      </w:r>
      <w:r w:rsidRPr="00493892">
        <w:rPr>
          <w:rFonts w:cs="Traditional Arabic"/>
        </w:rPr>
        <w:t>(S. ), Op – Cit</w:t>
      </w:r>
      <w:r>
        <w:rPr>
          <w:rFonts w:cs="Traditional Arabic"/>
        </w:rPr>
        <w:t>.</w:t>
      </w:r>
      <w:r w:rsidRPr="00493892">
        <w:rPr>
          <w:rFonts w:cs="Traditional Arabic"/>
        </w:rPr>
        <w:t>, T</w:t>
      </w:r>
      <w:r>
        <w:rPr>
          <w:rFonts w:cs="Traditional Arabic"/>
        </w:rPr>
        <w:t>.</w:t>
      </w:r>
      <w:r w:rsidRPr="00493892">
        <w:rPr>
          <w:rFonts w:cs="Traditional Arabic"/>
        </w:rPr>
        <w:t xml:space="preserve">1, P. 272.         </w:t>
      </w:r>
      <w:r w:rsidR="00D46A8F">
        <w:rPr>
          <w:rFonts w:cs="Traditional Arabic"/>
        </w:rPr>
        <w:t xml:space="preserve">                            </w:t>
      </w:r>
      <w:r w:rsidRPr="00493892">
        <w:rPr>
          <w:rFonts w:cs="Traditional Arabic"/>
        </w:rPr>
        <w:t xml:space="preserve">                                                                 </w:t>
      </w:r>
      <w:r>
        <w:rPr>
          <w:rFonts w:cs="Traditional Arabic"/>
        </w:rPr>
        <w:t xml:space="preserve">                    </w:t>
      </w:r>
    </w:p>
    <w:p w:rsidR="00A12E20" w:rsidRPr="00540A23" w:rsidRDefault="00A12E20" w:rsidP="00D46A8F">
      <w:pPr>
        <w:bidi/>
        <w:spacing w:after="0" w:line="240" w:lineRule="auto"/>
        <w:rPr>
          <w:rFonts w:ascii="Sakkal Majalla" w:hAnsi="Sakkal Majalla" w:cs="Sakkal Majalla"/>
          <w:rtl/>
        </w:rPr>
      </w:pPr>
      <w:r w:rsidRPr="00540A23">
        <w:rPr>
          <w:rFonts w:ascii="Sakkal Majalla" w:hAnsi="Sakkal Majalla" w:cs="Sakkal Majalla"/>
          <w:rtl/>
        </w:rPr>
        <w:t xml:space="preserve">(6) الماكسيس : من الليبيين المستقرين المزارعين ، يقطنون إلى الغرب من نهر تريتون ، و من الممكن أن يكونوا هم المشواش القدماء الذين تذكرهم  المصادر المصرية . خشيم علي فهمي ، نصوص ليبية ، ص . 46 . </w:t>
      </w:r>
      <w:r w:rsidRPr="00540A23">
        <w:rPr>
          <w:rFonts w:ascii="Sakkal Majalla" w:hAnsi="Sakkal Majalla" w:cs="Sakkal Majalla"/>
          <w:rtl/>
          <w:lang w:bidi="ar-DZ"/>
        </w:rPr>
        <w:t xml:space="preserve">ھ .1 . </w:t>
      </w:r>
    </w:p>
    <w:p w:rsidR="00A12E20" w:rsidRPr="00540A23" w:rsidRDefault="00A12E20" w:rsidP="00D46A8F">
      <w:pPr>
        <w:bidi/>
        <w:spacing w:after="0" w:line="240" w:lineRule="auto"/>
        <w:rPr>
          <w:rFonts w:ascii="Sakkal Majalla" w:hAnsi="Sakkal Majalla" w:cs="Sakkal Majalla"/>
          <w:rtl/>
          <w:lang w:bidi="ar-DZ"/>
        </w:rPr>
      </w:pPr>
      <w:r w:rsidRPr="00540A23">
        <w:rPr>
          <w:rFonts w:ascii="Sakkal Majalla" w:hAnsi="Sakkal Majalla" w:cs="Sakkal Majalla"/>
          <w:rtl/>
          <w:lang w:bidi="ar-DZ"/>
        </w:rPr>
        <w:t xml:space="preserve">(7) الجيزانت : يحدد هيرودوت موطنهم إلى الغرب من نهر تريتون بعد كل من الماكسيس و الزواكس </w:t>
      </w:r>
      <w:r w:rsidRPr="00540A23">
        <w:rPr>
          <w:rFonts w:ascii="Sakkal Majalla" w:hAnsi="Sakkal Majalla" w:cs="Sakkal Majalla"/>
          <w:lang w:bidi="ar-DZ"/>
        </w:rPr>
        <w:t>( IV, 194 )</w:t>
      </w:r>
      <w:r w:rsidRPr="00540A23">
        <w:rPr>
          <w:rFonts w:ascii="Sakkal Majalla" w:hAnsi="Sakkal Majalla" w:cs="Sakkal Majalla"/>
          <w:rtl/>
          <w:lang w:bidi="ar-DZ"/>
        </w:rPr>
        <w:t xml:space="preserve"> ، أما الرحالة سيلاكس فقد</w:t>
      </w:r>
    </w:p>
    <w:p w:rsidR="00A12E20" w:rsidRPr="00540A23" w:rsidRDefault="00A12E20" w:rsidP="00D46A8F">
      <w:pPr>
        <w:bidi/>
        <w:spacing w:after="0" w:line="240" w:lineRule="auto"/>
        <w:rPr>
          <w:rFonts w:ascii="Sakkal Majalla" w:hAnsi="Sakkal Majalla" w:cs="Sakkal Majalla"/>
          <w:rtl/>
        </w:rPr>
      </w:pPr>
      <w:r w:rsidRPr="00540A23">
        <w:rPr>
          <w:rFonts w:ascii="Sakkal Majalla" w:hAnsi="Sakkal Majalla" w:cs="Sakkal Majalla"/>
          <w:rtl/>
          <w:lang w:bidi="ar-DZ"/>
        </w:rPr>
        <w:t xml:space="preserve">     وضعهم إلى الجنوب مما حدده هيرودوت ، و قد اشتهروا بتربية النحل و صناعة العسل . نفسـه ، ص . 48 .</w:t>
      </w:r>
    </w:p>
    <w:p w:rsidR="00A12E20" w:rsidRPr="00F42C13" w:rsidRDefault="00A12E20" w:rsidP="00D46A8F">
      <w:pPr>
        <w:bidi/>
        <w:spacing w:after="0" w:line="240" w:lineRule="auto"/>
        <w:rPr>
          <w:rFonts w:cs="Traditional Arabic"/>
          <w:rtl/>
          <w:lang w:bidi="ar-DZ"/>
        </w:rPr>
      </w:pPr>
      <w:r w:rsidRPr="001D66CA">
        <w:rPr>
          <w:rFonts w:ascii="Sakkal Majalla" w:hAnsi="Sakkal Majalla" w:cs="Sakkal Majalla"/>
          <w:rtl/>
        </w:rPr>
        <w:t>(8)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 xml:space="preserve">– Herodote, IV, 191, 194.       </w:t>
      </w:r>
      <w:r>
        <w:rPr>
          <w:rFonts w:cs="Traditional Arabic"/>
        </w:rPr>
        <w:t xml:space="preserve"> </w:t>
      </w:r>
      <w:r w:rsidRPr="00F42C13">
        <w:rPr>
          <w:rFonts w:cs="Traditional Arabic"/>
        </w:rPr>
        <w:t xml:space="preserve">     </w:t>
      </w:r>
      <w:r w:rsidR="00D46A8F">
        <w:rPr>
          <w:rFonts w:cs="Traditional Arabic"/>
        </w:rPr>
        <w:t xml:space="preserve">                         </w:t>
      </w:r>
      <w:r w:rsidRPr="00F42C13">
        <w:rPr>
          <w:rFonts w:cs="Traditional Arabic"/>
        </w:rPr>
        <w:t xml:space="preserve">     </w:t>
      </w:r>
      <w:r w:rsidR="00D46A8F">
        <w:rPr>
          <w:rFonts w:cs="Traditional Arabic"/>
        </w:rPr>
        <w:t xml:space="preserve">   </w:t>
      </w:r>
      <w:r w:rsidRPr="00F42C13">
        <w:rPr>
          <w:rFonts w:cs="Traditional Arabic"/>
        </w:rPr>
        <w:t xml:space="preserve">                                                                                            </w:t>
      </w:r>
    </w:p>
    <w:p w:rsidR="00A12E20" w:rsidRPr="00F42C13" w:rsidRDefault="00A12E20" w:rsidP="00D46A8F">
      <w:pPr>
        <w:bidi/>
        <w:spacing w:after="0" w:line="240" w:lineRule="auto"/>
        <w:rPr>
          <w:rFonts w:cs="Traditional Arabic"/>
        </w:rPr>
      </w:pPr>
      <w:r w:rsidRPr="001D66CA">
        <w:rPr>
          <w:rFonts w:ascii="Sakkal Majalla" w:hAnsi="Sakkal Majalla" w:cs="Sakkal Majalla"/>
          <w:rtl/>
        </w:rPr>
        <w:t>(9)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>– Camps (G. ), Op – Cit</w:t>
      </w:r>
      <w:r>
        <w:rPr>
          <w:rFonts w:cs="Traditional Arabic"/>
        </w:rPr>
        <w:t>.</w:t>
      </w:r>
      <w:r w:rsidRPr="00F42C13">
        <w:rPr>
          <w:rFonts w:cs="Traditional Arabic"/>
        </w:rPr>
        <w:t xml:space="preserve">, P. 522.            </w:t>
      </w:r>
      <w:r w:rsidR="00D46A8F">
        <w:rPr>
          <w:rFonts w:cs="Traditional Arabic"/>
        </w:rPr>
        <w:t xml:space="preserve">                             </w:t>
      </w:r>
      <w:r w:rsidRPr="00F42C13">
        <w:rPr>
          <w:rFonts w:cs="Traditional Arabic"/>
        </w:rPr>
        <w:t xml:space="preserve">                                                       </w:t>
      </w:r>
      <w:r>
        <w:rPr>
          <w:rFonts w:cs="Traditional Arabic"/>
        </w:rPr>
        <w:t xml:space="preserve">                               </w:t>
      </w:r>
    </w:p>
    <w:p w:rsidR="00A12E20" w:rsidRPr="00F42C13" w:rsidRDefault="00A12E20" w:rsidP="00D46A8F">
      <w:pPr>
        <w:bidi/>
        <w:spacing w:after="0" w:line="240" w:lineRule="auto"/>
        <w:ind w:right="-709"/>
        <w:rPr>
          <w:rFonts w:cs="Traditional Arabic"/>
        </w:rPr>
      </w:pPr>
      <w:r w:rsidRPr="001D66CA">
        <w:rPr>
          <w:rFonts w:ascii="Sakkal Majalla" w:hAnsi="Sakkal Majalla" w:cs="Sakkal Majalla"/>
          <w:rtl/>
        </w:rPr>
        <w:t>(10)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>– Cadenat ( P. ), Op – Cit</w:t>
      </w:r>
      <w:r>
        <w:rPr>
          <w:rFonts w:cs="Traditional Arabic"/>
        </w:rPr>
        <w:t>.</w:t>
      </w:r>
      <w:r w:rsidRPr="00F42C13">
        <w:rPr>
          <w:rFonts w:cs="Traditional Arabic"/>
        </w:rPr>
        <w:t xml:space="preserve">, PP. 509 -510.      </w:t>
      </w:r>
      <w:r w:rsidR="00D46A8F">
        <w:rPr>
          <w:rFonts w:cs="Traditional Arabic"/>
        </w:rPr>
        <w:t xml:space="preserve">                           </w:t>
      </w:r>
      <w:r w:rsidRPr="00F42C13">
        <w:rPr>
          <w:rFonts w:cs="Traditional Arabic"/>
        </w:rPr>
        <w:t xml:space="preserve">   </w:t>
      </w:r>
      <w:r>
        <w:rPr>
          <w:rFonts w:cs="Traditional Arabic"/>
        </w:rPr>
        <w:t xml:space="preserve">  </w:t>
      </w:r>
      <w:r w:rsidRPr="00F42C13">
        <w:rPr>
          <w:rFonts w:cs="Traditional Arabic"/>
        </w:rPr>
        <w:t xml:space="preserve">                                                                        </w:t>
      </w:r>
      <w:r>
        <w:rPr>
          <w:rFonts w:cs="Traditional Arabic"/>
        </w:rPr>
        <w:t xml:space="preserve"> </w:t>
      </w:r>
    </w:p>
    <w:p w:rsidR="00A12E20" w:rsidRPr="00F42C13" w:rsidRDefault="00A12E20" w:rsidP="00D46A8F">
      <w:pPr>
        <w:bidi/>
        <w:spacing w:after="0" w:line="240" w:lineRule="auto"/>
        <w:ind w:right="-709"/>
        <w:rPr>
          <w:rFonts w:cs="Traditional Arabic"/>
          <w:szCs w:val="36"/>
          <w:rtl/>
        </w:rPr>
      </w:pPr>
      <w:r w:rsidRPr="001D66CA">
        <w:rPr>
          <w:rFonts w:ascii="Sakkal Majalla" w:hAnsi="Sakkal Majalla" w:cs="Sakkal Majalla"/>
          <w:rtl/>
        </w:rPr>
        <w:t>(11)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  <w:lang w:bidi="ar-DZ"/>
        </w:rPr>
        <w:t xml:space="preserve">522 .            </w:t>
      </w:r>
      <w:r w:rsidR="00D46A8F">
        <w:rPr>
          <w:rFonts w:cs="Traditional Arabic"/>
          <w:lang w:bidi="ar-DZ"/>
        </w:rPr>
        <w:t xml:space="preserve">                              </w:t>
      </w:r>
      <w:r w:rsidRPr="00F42C13">
        <w:rPr>
          <w:rFonts w:cs="Traditional Arabic"/>
          <w:lang w:bidi="ar-DZ"/>
        </w:rPr>
        <w:t xml:space="preserve">                                                                                  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</w:rPr>
        <w:t xml:space="preserve"> - Camps ( G. ) , Op - Cit</w:t>
      </w:r>
      <w:r>
        <w:rPr>
          <w:rFonts w:cs="Traditional Arabic"/>
        </w:rPr>
        <w:t>.</w:t>
      </w:r>
      <w:r w:rsidRPr="00F42C13">
        <w:rPr>
          <w:rFonts w:cs="Traditional Arabic"/>
        </w:rPr>
        <w:t xml:space="preserve"> ,P. </w:t>
      </w:r>
    </w:p>
    <w:p w:rsidR="00A12E20" w:rsidRPr="00F42C13" w:rsidRDefault="00A12E20" w:rsidP="00D46A8F">
      <w:pPr>
        <w:bidi/>
        <w:spacing w:after="0" w:line="240" w:lineRule="auto"/>
        <w:rPr>
          <w:rFonts w:cs="Traditional Arabic"/>
          <w:rtl/>
          <w:lang w:val="en-GB" w:bidi="ar-DZ"/>
        </w:rPr>
      </w:pPr>
      <w:r w:rsidRPr="001D66CA">
        <w:rPr>
          <w:rFonts w:ascii="Sakkal Majalla" w:hAnsi="Sakkal Majalla" w:cs="Sakkal Majalla"/>
          <w:rtl/>
          <w:lang w:bidi="ar-DZ"/>
        </w:rPr>
        <w:t>(12)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  <w:lang w:val="en-GB" w:bidi="ar-DZ"/>
        </w:rPr>
        <w:t xml:space="preserve">- Picard ( G. </w:t>
      </w:r>
      <w:smartTag w:uri="urn:schemas-microsoft-com:office:smarttags" w:element="place">
        <w:smartTag w:uri="urn:schemas-microsoft-com:office:smarttags" w:element="country-region">
          <w:r w:rsidRPr="00F42C13">
            <w:rPr>
              <w:rFonts w:cs="Traditional Arabic"/>
              <w:lang w:val="en-GB" w:bidi="ar-DZ"/>
            </w:rPr>
            <w:t>Ch.</w:t>
          </w:r>
        </w:smartTag>
      </w:smartTag>
      <w:r w:rsidRPr="00F42C13">
        <w:rPr>
          <w:rFonts w:cs="Traditional Arabic"/>
          <w:lang w:val="en-GB" w:bidi="ar-DZ"/>
        </w:rPr>
        <w:t xml:space="preserve"> ) , Les Religions … , P. 18 .      </w:t>
      </w:r>
      <w:r>
        <w:rPr>
          <w:rFonts w:cs="Traditional Arabic"/>
          <w:lang w:val="en-GB" w:bidi="ar-DZ"/>
        </w:rPr>
        <w:t xml:space="preserve"> </w:t>
      </w:r>
      <w:r w:rsidR="00D46A8F">
        <w:rPr>
          <w:rFonts w:cs="Traditional Arabic"/>
          <w:lang w:val="en-GB" w:bidi="ar-DZ"/>
        </w:rPr>
        <w:t xml:space="preserve">     </w:t>
      </w:r>
      <w:r>
        <w:rPr>
          <w:rFonts w:cs="Traditional Arabic"/>
          <w:lang w:val="en-GB" w:bidi="ar-DZ"/>
        </w:rPr>
        <w:t xml:space="preserve"> </w:t>
      </w:r>
      <w:r w:rsidRPr="00F42C13">
        <w:rPr>
          <w:rFonts w:cs="Traditional Arabic"/>
          <w:lang w:val="en-GB" w:bidi="ar-DZ"/>
        </w:rPr>
        <w:t xml:space="preserve">        </w:t>
      </w:r>
      <w:r>
        <w:rPr>
          <w:rFonts w:cs="Traditional Arabic"/>
          <w:lang w:val="en-GB" w:bidi="ar-DZ"/>
        </w:rPr>
        <w:t xml:space="preserve">  </w:t>
      </w:r>
      <w:r w:rsidR="00D46A8F">
        <w:rPr>
          <w:rFonts w:cs="Traditional Arabic"/>
          <w:lang w:val="en-GB" w:bidi="ar-DZ"/>
        </w:rPr>
        <w:t xml:space="preserve">                       </w:t>
      </w:r>
      <w:r w:rsidRPr="00F42C13">
        <w:rPr>
          <w:rFonts w:cs="Traditional Arabic"/>
          <w:lang w:val="en-GB" w:bidi="ar-DZ"/>
        </w:rPr>
        <w:t xml:space="preserve">                                                              </w:t>
      </w:r>
    </w:p>
    <w:p w:rsidR="00A12E20" w:rsidRDefault="00A12E20" w:rsidP="00D46A8F">
      <w:pPr>
        <w:bidi/>
        <w:spacing w:after="0" w:line="240" w:lineRule="auto"/>
        <w:rPr>
          <w:rFonts w:cs="Traditional Arabic"/>
          <w:szCs w:val="36"/>
          <w:rtl/>
        </w:rPr>
      </w:pPr>
    </w:p>
    <w:p w:rsidR="00A12E20" w:rsidRDefault="00A12E20" w:rsidP="00D46A8F">
      <w:pPr>
        <w:bidi/>
        <w:spacing w:after="0" w:line="240" w:lineRule="auto"/>
        <w:rPr>
          <w:rFonts w:cs="Traditional Arabic"/>
          <w:szCs w:val="36"/>
          <w:rtl/>
        </w:rPr>
      </w:pPr>
    </w:p>
    <w:p w:rsidR="00A12E20" w:rsidRDefault="00A12E20" w:rsidP="00D46A8F">
      <w:pPr>
        <w:bidi/>
        <w:spacing w:line="240" w:lineRule="auto"/>
        <w:rPr>
          <w:rFonts w:cs="Traditional Arabic"/>
          <w:szCs w:val="36"/>
          <w:rtl/>
          <w:lang w:bidi="ar-DZ"/>
        </w:rPr>
      </w:pPr>
    </w:p>
    <w:p w:rsidR="00A12E20" w:rsidRPr="004240AF" w:rsidRDefault="00A12E20" w:rsidP="00A12E20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lastRenderedPageBreak/>
        <w:t>يتركه الأحياء للأموات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(1)</w:t>
      </w:r>
      <w:r w:rsidRPr="004240AF">
        <w:rPr>
          <w:rFonts w:ascii="Sakkal Majalla" w:hAnsi="Sakkal Majalla" w:cs="Sakkal Majalla"/>
          <w:sz w:val="32"/>
          <w:szCs w:val="32"/>
          <w:rtl/>
        </w:rPr>
        <w:t>، ففي اعتقاد القدماء كلما قاومت الجثة عوامل الفناء</w:t>
      </w:r>
      <w:r w:rsidRPr="004240A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كلما شعر الأحياء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بالسعادة 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(2)</w:t>
      </w:r>
      <w:r w:rsidRPr="004240AF">
        <w:rPr>
          <w:rFonts w:ascii="Sakkal Majalla" w:hAnsi="Sakkal Majalla" w:cs="Sakkal Majalla"/>
          <w:sz w:val="32"/>
          <w:szCs w:val="32"/>
          <w:rtl/>
        </w:rPr>
        <w:t>، و يمكن كذلك أن يستشف منها اعتقادهم في نوع من الحياة الأبدية .</w:t>
      </w:r>
    </w:p>
    <w:p w:rsidR="00A12E20" w:rsidRPr="004240AF" w:rsidRDefault="00A12E20" w:rsidP="00A12E20">
      <w:pPr>
        <w:pStyle w:val="Titre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b/>
          <w:bCs/>
          <w:sz w:val="32"/>
          <w:szCs w:val="32"/>
          <w:rtl/>
        </w:rPr>
        <w:t>ج - الاعتـقـاد في الحيـاة الأخـرى :</w:t>
      </w:r>
    </w:p>
    <w:p w:rsidR="00A12E20" w:rsidRPr="004240AF" w:rsidRDefault="00A12E20" w:rsidP="00A12E20">
      <w:pPr>
        <w:pStyle w:val="Titre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 xml:space="preserve">      يقصد بها الاعـتقاد في استمرار نوع من الحياة للكائن البشري بعد الموت، و قد تباينت الآراء حول العوامل المكونة لها و تاريخ بدايتها عـند الإنسان في عهوده الأولى،فأرجعها البعض إلى العصر الحجري الحديث عندما صارت علاقـة الإنسان وثيـقة بعالم القوى الطبيعية المتحكمة في إنتاجـه الزراعي ، فقد لمس أبديـة الحياة في دورة الحياة الإنسانية والحيوانية والنبـاتية والكواكب ، و أدى تكرارها إلى توليد هذا الشعور أو الاعتقاد 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(3)</w:t>
      </w:r>
      <w:r w:rsidRPr="004240AF">
        <w:rPr>
          <w:rFonts w:ascii="Sakkal Majalla" w:hAnsi="Sakkal Majalla" w:cs="Sakkal Majalla"/>
          <w:sz w:val="32"/>
          <w:szCs w:val="32"/>
          <w:rtl/>
        </w:rPr>
        <w:t>، إلا أن وجود المغـرة على بقايا جثث تعود إلى العصر الحجري القديم الأوسط يمكننا من إرجاع نشأة الاعتقاد بحياة أخرى إلى مرحلة تسبق العصر الحجري الحديث .</w:t>
      </w:r>
    </w:p>
    <w:p w:rsidR="00A12E20" w:rsidRDefault="00A12E20" w:rsidP="00D46A8F">
      <w:pPr>
        <w:bidi/>
        <w:spacing w:after="0"/>
        <w:ind w:right="-709"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 xml:space="preserve">     و يعتبر بعض مؤرخي الأديان أن إعادة الميت إلى الأرض بدفنـه فيها هو إعطاؤه حياة جديدة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باعتبار </w:t>
      </w:r>
    </w:p>
    <w:p w:rsidR="00A12E20" w:rsidRPr="004240AF" w:rsidRDefault="00A12E20" w:rsidP="00D46A8F">
      <w:pPr>
        <w:bidi/>
        <w:spacing w:after="0"/>
        <w:ind w:right="-142"/>
        <w:jc w:val="both"/>
        <w:rPr>
          <w:rFonts w:ascii="Sakkal Majalla" w:hAnsi="Sakkal Majalla" w:cs="Sakkal Majalla"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>الأرض الإلهة الأم المنتجة للحياة بامتياز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(4)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، و قد عرف المغاربة القدماء جملة من الممارسات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الجنائزية  التي تصب في هذا الاتجاه ، 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>منها توجيه أمواتـهم نحو الشرق ، الذي يدل على ولادة يوم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جديد ، كما أن حماية الميت بكتل حجرية قد يكون الهدف منه </w:t>
      </w:r>
      <w:r w:rsidR="00D46A8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تـثبيت الاعتقاد بالأبدية 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(5)</w:t>
      </w:r>
      <w:r w:rsidRPr="004240AF">
        <w:rPr>
          <w:rFonts w:ascii="Sakkal Majalla" w:hAnsi="Sakkal Majalla" w:cs="Sakkal Majalla"/>
          <w:sz w:val="32"/>
          <w:szCs w:val="32"/>
          <w:rtl/>
        </w:rPr>
        <w:t>، كما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ينـطبق الأمر كذلك على استخدام المغرة ، أما الأثاث و الهدايا الجنائزية التي عثر عليها في مـدافن </w:t>
      </w:r>
      <w:r w:rsidRPr="004240A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sz w:val="32"/>
          <w:szCs w:val="32"/>
          <w:rtl/>
        </w:rPr>
        <w:t>المنطقة المغاربية فيمكن تفسيرها بأن الحياة بعد الموت عند القدامى تقـتضي نفس الاحتياجات التي يحتاجها الأحياء ، من غذاء و لذلك فهي توضع قريبا من رأس الميت أويزود بأدوات مختلفة ، سواء كان الهدف منها الحماية أو للزينة</w:t>
      </w:r>
      <w:r w:rsidRPr="004240AF">
        <w:rPr>
          <w:rFonts w:ascii="Sakkal Majalla" w:hAnsi="Sakkal Majalla" w:cs="Sakkal Majalla"/>
          <w:sz w:val="32"/>
          <w:szCs w:val="32"/>
          <w:vertAlign w:val="superscript"/>
          <w:rtl/>
        </w:rPr>
        <w:t>(6)</w:t>
      </w:r>
      <w:r w:rsidRPr="004240AF">
        <w:rPr>
          <w:rFonts w:ascii="Sakkal Majalla" w:hAnsi="Sakkal Majalla" w:cs="Sakkal Majalla"/>
          <w:sz w:val="32"/>
          <w:szCs w:val="32"/>
          <w:rtl/>
        </w:rPr>
        <w:t>، لكن المعطيات المتوفرة لا تمكّننا من الخروج بتصور واضح عن الموضوع ، فالتساؤل يبقى مطروحا حول ماهية الشعور الديـني المصاحب لتلك الممارسات ، خاصة في غياب أدلـة أخرى كالأساطير أو النصوص الكتابية .</w:t>
      </w:r>
    </w:p>
    <w:p w:rsidR="00A12E20" w:rsidRPr="00F42C13" w:rsidRDefault="00A12E20" w:rsidP="00D46A8F">
      <w:pPr>
        <w:bidi/>
        <w:spacing w:after="0" w:line="240" w:lineRule="auto"/>
        <w:ind w:right="-709"/>
        <w:rPr>
          <w:rFonts w:cs="Traditional Arabic"/>
          <w:szCs w:val="36"/>
        </w:rPr>
      </w:pPr>
      <w:r w:rsidRPr="00F42C13">
        <w:rPr>
          <w:rFonts w:cs="Traditional Arabic" w:hint="cs"/>
          <w:szCs w:val="36"/>
          <w:rtl/>
        </w:rPr>
        <w:t>ـــــــــــــــــــــــــ</w:t>
      </w:r>
      <w:r>
        <w:rPr>
          <w:rFonts w:cs="Traditional Arabic" w:hint="cs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F42C13">
        <w:rPr>
          <w:rFonts w:cs="Traditional Arabic" w:hint="cs"/>
          <w:szCs w:val="36"/>
          <w:rtl/>
        </w:rPr>
        <w:t xml:space="preserve"> </w:t>
      </w:r>
      <w:r w:rsidRPr="00F42C13">
        <w:rPr>
          <w:rFonts w:cs="Traditional Arabic"/>
        </w:rPr>
        <w:t xml:space="preserve">                                                                     </w:t>
      </w:r>
    </w:p>
    <w:p w:rsidR="00A12E20" w:rsidRPr="00F42C13" w:rsidRDefault="00A12E20" w:rsidP="00D46A8F">
      <w:pPr>
        <w:bidi/>
        <w:spacing w:after="0" w:line="240" w:lineRule="auto"/>
        <w:rPr>
          <w:rFonts w:cs="Traditional Arabic"/>
          <w:rtl/>
          <w:lang w:val="en-GB"/>
        </w:rPr>
      </w:pPr>
      <w:r w:rsidRPr="001D66CA">
        <w:rPr>
          <w:rFonts w:ascii="Sakkal Majalla" w:hAnsi="Sakkal Majalla" w:cs="Sakkal Majalla"/>
          <w:rtl/>
        </w:rPr>
        <w:t>(1)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  <w:lang w:val="en-GB"/>
        </w:rPr>
        <w:t>- Gsell ( S. ), Op - Cit</w:t>
      </w:r>
      <w:r w:rsidRPr="00105F7F">
        <w:rPr>
          <w:rFonts w:cs="Traditional Arabic"/>
          <w:lang w:val="en-US"/>
        </w:rPr>
        <w:t>.</w:t>
      </w:r>
      <w:r w:rsidRPr="00F42C13">
        <w:rPr>
          <w:rFonts w:cs="Traditional Arabic"/>
          <w:lang w:val="en-GB"/>
        </w:rPr>
        <w:t xml:space="preserve"> , T</w:t>
      </w:r>
      <w:r>
        <w:rPr>
          <w:rFonts w:cs="Traditional Arabic"/>
          <w:lang w:val="en-GB"/>
        </w:rPr>
        <w:t>.</w:t>
      </w:r>
      <w:r w:rsidRPr="00F42C13">
        <w:rPr>
          <w:rFonts w:cs="Traditional Arabic"/>
          <w:lang w:val="en-GB"/>
        </w:rPr>
        <w:t xml:space="preserve">1 . P. 272 .  </w:t>
      </w:r>
      <w:r w:rsidRPr="00F42C13">
        <w:rPr>
          <w:rFonts w:cs="Traditional Arabic"/>
          <w:lang w:val="en-US"/>
        </w:rPr>
        <w:t xml:space="preserve">  </w:t>
      </w:r>
      <w:r w:rsidRPr="00F42C13">
        <w:rPr>
          <w:rFonts w:cs="Traditional Arabic"/>
          <w:lang w:val="en-GB"/>
        </w:rPr>
        <w:t xml:space="preserve">   </w:t>
      </w:r>
      <w:r w:rsidRPr="00F42C13">
        <w:rPr>
          <w:rFonts w:cs="Traditional Arabic"/>
        </w:rPr>
        <w:t xml:space="preserve"> </w:t>
      </w:r>
      <w:r w:rsidR="00D46A8F">
        <w:rPr>
          <w:rFonts w:cs="Traditional Arabic"/>
        </w:rPr>
        <w:t xml:space="preserve">                              </w:t>
      </w:r>
      <w:r w:rsidRPr="00F42C13">
        <w:rPr>
          <w:rFonts w:cs="Traditional Arabic"/>
        </w:rPr>
        <w:t xml:space="preserve"> </w:t>
      </w:r>
      <w:r w:rsidRPr="00F42C13">
        <w:rPr>
          <w:rFonts w:cs="Traditional Arabic"/>
          <w:lang w:val="en-GB"/>
        </w:rPr>
        <w:t xml:space="preserve">   </w:t>
      </w:r>
      <w:r w:rsidRPr="00F42C13">
        <w:rPr>
          <w:rFonts w:cs="Traditional Arabic"/>
        </w:rPr>
        <w:t xml:space="preserve">  </w:t>
      </w:r>
      <w:r w:rsidRPr="00F42C13">
        <w:rPr>
          <w:rFonts w:cs="Traditional Arabic"/>
          <w:lang w:val="en-GB"/>
        </w:rPr>
        <w:t xml:space="preserve">                                              </w:t>
      </w:r>
      <w:r>
        <w:rPr>
          <w:rFonts w:cs="Traditional Arabic"/>
          <w:lang w:val="en-GB"/>
        </w:rPr>
        <w:t xml:space="preserve">                              </w:t>
      </w:r>
      <w:r w:rsidRPr="00F42C13">
        <w:rPr>
          <w:rFonts w:cs="Traditional Arabic"/>
          <w:lang w:val="en-GB"/>
        </w:rPr>
        <w:t xml:space="preserve"> </w:t>
      </w:r>
    </w:p>
    <w:p w:rsidR="00A12E20" w:rsidRPr="003A6B43" w:rsidRDefault="00A12E20" w:rsidP="00D46A8F">
      <w:pPr>
        <w:bidi/>
        <w:spacing w:after="0" w:line="240" w:lineRule="auto"/>
        <w:rPr>
          <w:rFonts w:ascii="Sakkal Majalla" w:hAnsi="Sakkal Majalla" w:cs="Sakkal Majalla"/>
          <w:rtl/>
          <w:lang w:bidi="ar-DZ"/>
        </w:rPr>
      </w:pPr>
      <w:r w:rsidRPr="003A6B43">
        <w:rPr>
          <w:rFonts w:ascii="Sakkal Majalla" w:hAnsi="Sakkal Majalla" w:cs="Sakkal Majalla"/>
          <w:rtl/>
        </w:rPr>
        <w:t>(2) غانم محمد الصغير ، " بعض من ملامح الفكر... ، ص . 63 .</w:t>
      </w:r>
    </w:p>
    <w:p w:rsidR="00A12E20" w:rsidRPr="00F42C13" w:rsidRDefault="00A12E20" w:rsidP="00D46A8F">
      <w:pPr>
        <w:bidi/>
        <w:spacing w:after="0" w:line="240" w:lineRule="auto"/>
        <w:ind w:right="-709"/>
        <w:rPr>
          <w:rFonts w:cs="Traditional Arabic"/>
          <w:rtl/>
        </w:rPr>
      </w:pPr>
      <w:r w:rsidRPr="003A6B43">
        <w:rPr>
          <w:rFonts w:ascii="Sakkal Majalla" w:hAnsi="Sakkal Majalla" w:cs="Sakkal Majalla"/>
          <w:rtl/>
        </w:rPr>
        <w:t>(3) الناضوري رشيد ، المدخل في التطور التاريخي ... ، ص . 34 .</w:t>
      </w:r>
    </w:p>
    <w:p w:rsidR="00A12E20" w:rsidRPr="00F42C13" w:rsidRDefault="00A12E20" w:rsidP="00D46A8F">
      <w:pPr>
        <w:bidi/>
        <w:spacing w:after="0" w:line="240" w:lineRule="auto"/>
        <w:ind w:right="-709"/>
        <w:rPr>
          <w:rFonts w:cs="Traditional Arabic"/>
        </w:rPr>
      </w:pPr>
      <w:r w:rsidRPr="001D66CA">
        <w:rPr>
          <w:rFonts w:ascii="Sakkal Majalla" w:hAnsi="Sakkal Majalla" w:cs="Sakkal Majalla"/>
          <w:rtl/>
        </w:rPr>
        <w:t>(4)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>– James ( E. O. ) Op – Cit</w:t>
      </w:r>
      <w:r>
        <w:rPr>
          <w:rFonts w:cs="Traditional Arabic"/>
        </w:rPr>
        <w:t>.</w:t>
      </w:r>
      <w:r w:rsidRPr="00F42C13">
        <w:rPr>
          <w:rFonts w:cs="Traditional Arabic"/>
        </w:rPr>
        <w:t xml:space="preserve">, P. 279.      </w:t>
      </w:r>
      <w:r w:rsidR="00D46A8F">
        <w:rPr>
          <w:rFonts w:cs="Traditional Arabic"/>
        </w:rPr>
        <w:t xml:space="preserve">                             </w:t>
      </w:r>
      <w:r w:rsidRPr="00F42C13">
        <w:rPr>
          <w:rFonts w:cs="Traditional Arabic"/>
        </w:rPr>
        <w:t xml:space="preserve"> </w:t>
      </w:r>
      <w:r>
        <w:rPr>
          <w:rFonts w:cs="Traditional Arabic"/>
        </w:rPr>
        <w:t xml:space="preserve"> </w:t>
      </w:r>
      <w:r w:rsidRPr="00F42C13">
        <w:rPr>
          <w:rFonts w:cs="Traditional Arabic"/>
        </w:rPr>
        <w:t xml:space="preserve">                                                                                        </w:t>
      </w:r>
    </w:p>
    <w:p w:rsidR="00A12E20" w:rsidRPr="003A6B43" w:rsidRDefault="00A12E20" w:rsidP="00D46A8F">
      <w:pPr>
        <w:bidi/>
        <w:spacing w:after="0" w:line="240" w:lineRule="auto"/>
        <w:ind w:right="-709"/>
        <w:rPr>
          <w:rFonts w:ascii="Sakkal Majalla" w:hAnsi="Sakkal Majalla" w:cs="Sakkal Majalla"/>
          <w:rtl/>
        </w:rPr>
      </w:pPr>
      <w:r w:rsidRPr="003A6B43">
        <w:rPr>
          <w:rFonts w:ascii="Sakkal Majalla" w:hAnsi="Sakkal Majalla" w:cs="Sakkal Majalla"/>
          <w:rtl/>
        </w:rPr>
        <w:t xml:space="preserve">(5) الناضوري رشيد ، المدخل في التطور التاريخي ... ، ص . 36. </w:t>
      </w:r>
    </w:p>
    <w:p w:rsidR="00A12E20" w:rsidRPr="00F42C13" w:rsidRDefault="00A12E20" w:rsidP="00D46A8F">
      <w:pPr>
        <w:tabs>
          <w:tab w:val="left" w:pos="1360"/>
        </w:tabs>
        <w:bidi/>
        <w:spacing w:after="0" w:line="240" w:lineRule="auto"/>
        <w:rPr>
          <w:rFonts w:cs="Traditional Arabic"/>
          <w:b/>
          <w:bCs/>
          <w:szCs w:val="36"/>
          <w:u w:val="single"/>
          <w:rtl/>
        </w:rPr>
      </w:pPr>
      <w:r w:rsidRPr="001D66CA">
        <w:rPr>
          <w:rFonts w:ascii="Sakkal Majalla" w:hAnsi="Sakkal Majalla" w:cs="Sakkal Majalla"/>
          <w:rtl/>
        </w:rPr>
        <w:t>(6)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>- Luquet ( G. H. ) , Op - Cit</w:t>
      </w:r>
      <w:r>
        <w:rPr>
          <w:rFonts w:cs="Traditional Arabic"/>
        </w:rPr>
        <w:t>.</w:t>
      </w:r>
      <w:r w:rsidRPr="00F42C13">
        <w:rPr>
          <w:rFonts w:cs="Traditional Arabic"/>
        </w:rPr>
        <w:t xml:space="preserve">, PP. 193 - 204 .         </w:t>
      </w:r>
      <w:r w:rsidR="00D46A8F">
        <w:rPr>
          <w:rFonts w:cs="Traditional Arabic"/>
        </w:rPr>
        <w:t xml:space="preserve">                            </w:t>
      </w:r>
      <w:r w:rsidRPr="00F42C13">
        <w:rPr>
          <w:rFonts w:cs="Traditional Arabic"/>
        </w:rPr>
        <w:t xml:space="preserve">               </w:t>
      </w:r>
      <w:r>
        <w:rPr>
          <w:rFonts w:cs="Traditional Arabic"/>
        </w:rPr>
        <w:t xml:space="preserve"> </w:t>
      </w:r>
      <w:r w:rsidRPr="00F42C13">
        <w:rPr>
          <w:rFonts w:cs="Traditional Arabic"/>
        </w:rPr>
        <w:t xml:space="preserve">                                                        </w:t>
      </w:r>
    </w:p>
    <w:p w:rsidR="00A12E20" w:rsidRDefault="00A12E20" w:rsidP="00D46A8F">
      <w:pPr>
        <w:tabs>
          <w:tab w:val="left" w:pos="1360"/>
        </w:tabs>
        <w:bidi/>
        <w:spacing w:after="0" w:line="240" w:lineRule="auto"/>
        <w:rPr>
          <w:rFonts w:cs="Traditional Arabic"/>
          <w:b/>
          <w:bCs/>
          <w:szCs w:val="36"/>
          <w:u w:val="single"/>
          <w:rtl/>
        </w:rPr>
      </w:pPr>
    </w:p>
    <w:p w:rsidR="00A12E20" w:rsidRDefault="00A12E20" w:rsidP="00D46A8F">
      <w:pPr>
        <w:tabs>
          <w:tab w:val="left" w:pos="1360"/>
        </w:tabs>
        <w:bidi/>
        <w:spacing w:after="0"/>
        <w:rPr>
          <w:rFonts w:cs="Traditional Arabic"/>
          <w:b/>
          <w:bCs/>
          <w:szCs w:val="36"/>
          <w:u w:val="single"/>
        </w:rPr>
      </w:pPr>
    </w:p>
    <w:p w:rsidR="00A12E20" w:rsidRDefault="00A12E20" w:rsidP="00A12E20">
      <w:pPr>
        <w:tabs>
          <w:tab w:val="left" w:pos="1360"/>
        </w:tabs>
        <w:bidi/>
        <w:rPr>
          <w:rFonts w:cs="Traditional Arabic"/>
          <w:b/>
          <w:bCs/>
          <w:szCs w:val="36"/>
          <w:u w:val="single"/>
          <w:rtl/>
        </w:rPr>
      </w:pPr>
    </w:p>
    <w:p w:rsidR="00A12E20" w:rsidRPr="00F42C13" w:rsidRDefault="00A12E20" w:rsidP="00A12E20">
      <w:pPr>
        <w:tabs>
          <w:tab w:val="left" w:pos="1360"/>
        </w:tabs>
        <w:bidi/>
        <w:rPr>
          <w:rFonts w:cs="Traditional Arabic"/>
          <w:b/>
          <w:bCs/>
          <w:szCs w:val="36"/>
          <w:u w:val="single"/>
          <w:rtl/>
        </w:rPr>
      </w:pPr>
    </w:p>
    <w:sectPr w:rsidR="00A12E20" w:rsidRPr="00F42C13" w:rsidSect="00A12E20">
      <w:footerReference w:type="default" r:id="rId9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745" w:rsidRDefault="00985745" w:rsidP="00D46A8F">
      <w:pPr>
        <w:spacing w:after="0" w:line="240" w:lineRule="auto"/>
      </w:pPr>
      <w:r>
        <w:separator/>
      </w:r>
    </w:p>
  </w:endnote>
  <w:endnote w:type="continuationSeparator" w:id="1">
    <w:p w:rsidR="00985745" w:rsidRDefault="00985745" w:rsidP="00D4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6789"/>
      <w:docPartObj>
        <w:docPartGallery w:val="Page Numbers (Bottom of Page)"/>
        <w:docPartUnique/>
      </w:docPartObj>
    </w:sdtPr>
    <w:sdtContent>
      <w:p w:rsidR="00D46A8F" w:rsidRDefault="00D46A8F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46A8F" w:rsidRDefault="00D46A8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745" w:rsidRDefault="00985745" w:rsidP="00D46A8F">
      <w:pPr>
        <w:spacing w:after="0" w:line="240" w:lineRule="auto"/>
      </w:pPr>
      <w:r>
        <w:separator/>
      </w:r>
    </w:p>
  </w:footnote>
  <w:footnote w:type="continuationSeparator" w:id="1">
    <w:p w:rsidR="00985745" w:rsidRDefault="00985745" w:rsidP="00D46A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E20"/>
    <w:rsid w:val="00260B0A"/>
    <w:rsid w:val="008E0DAB"/>
    <w:rsid w:val="00985745"/>
    <w:rsid w:val="00A12E20"/>
    <w:rsid w:val="00D4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DAB"/>
  </w:style>
  <w:style w:type="paragraph" w:styleId="Titre1">
    <w:name w:val="heading 1"/>
    <w:basedOn w:val="Normal"/>
    <w:next w:val="Normal"/>
    <w:link w:val="Titre1Car"/>
    <w:qFormat/>
    <w:rsid w:val="00A12E20"/>
    <w:pPr>
      <w:keepNext/>
      <w:bidi/>
      <w:spacing w:after="0" w:line="240" w:lineRule="auto"/>
      <w:outlineLvl w:val="0"/>
    </w:pPr>
    <w:rPr>
      <w:rFonts w:ascii="Times New Roman" w:eastAsia="Times New Roman" w:hAnsi="Times New Roman" w:cs="Traditional Arabic"/>
      <w:sz w:val="20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12E20"/>
    <w:rPr>
      <w:rFonts w:ascii="Times New Roman" w:eastAsia="Times New Roman" w:hAnsi="Times New Roman" w:cs="Traditional Arabic"/>
      <w:sz w:val="20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2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2E2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46A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46A8F"/>
  </w:style>
  <w:style w:type="paragraph" w:styleId="Pieddepage">
    <w:name w:val="footer"/>
    <w:basedOn w:val="Normal"/>
    <w:link w:val="PieddepageCar"/>
    <w:uiPriority w:val="99"/>
    <w:unhideWhenUsed/>
    <w:rsid w:val="00D46A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6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2403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2022-05-20T22:37:00Z</dcterms:created>
  <dcterms:modified xsi:type="dcterms:W3CDTF">2022-05-20T23:05:00Z</dcterms:modified>
</cp:coreProperties>
</file>