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A9" w:rsidRPr="00B13CC6" w:rsidRDefault="00B13CC6" w:rsidP="002511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Les citations et les</w:t>
      </w:r>
      <w:r w:rsidR="002511A9" w:rsidRPr="00B13CC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références en bas de page</w:t>
      </w:r>
    </w:p>
    <w:p w:rsidR="002511A9" w:rsidRDefault="002511A9" w:rsidP="002511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2511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2511A9">
        <w:rPr>
          <w:rFonts w:asciiTheme="majorBidi" w:hAnsiTheme="majorBidi" w:cstheme="majorBidi"/>
          <w:sz w:val="24"/>
          <w:szCs w:val="24"/>
        </w:rPr>
        <w:t xml:space="preserve">Pour chaque citation intégrée dans un texte, doit correspondre une </w:t>
      </w:r>
      <w:r w:rsidRPr="002511A9">
        <w:rPr>
          <w:rFonts w:asciiTheme="majorBidi" w:hAnsiTheme="majorBidi" w:cstheme="majorBidi"/>
          <w:b/>
          <w:bCs/>
          <w:sz w:val="24"/>
          <w:szCs w:val="24"/>
        </w:rPr>
        <w:t>référence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b/>
          <w:bCs/>
          <w:sz w:val="24"/>
          <w:szCs w:val="24"/>
        </w:rPr>
        <w:t xml:space="preserve">bibliographique </w:t>
      </w:r>
      <w:r w:rsidRPr="002511A9">
        <w:rPr>
          <w:rFonts w:asciiTheme="majorBidi" w:hAnsiTheme="majorBidi" w:cstheme="majorBidi"/>
          <w:sz w:val="24"/>
          <w:szCs w:val="24"/>
        </w:rPr>
        <w:t>complète qui en indique la provenance : c’est le rôle joué par les notes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 xml:space="preserve">de référence en bas de page. </w:t>
      </w:r>
      <w:r>
        <w:rPr>
          <w:rFonts w:asciiTheme="majorBidi" w:hAnsiTheme="majorBidi" w:cstheme="majorBidi"/>
          <w:sz w:val="24"/>
          <w:szCs w:val="24"/>
        </w:rPr>
        <w:t>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référence en bas de page permet d’être plus explicite au sujet de la source et donne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possibilité d’ajouter un commentaire.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La référence est annoncée par </w:t>
      </w:r>
      <w:r w:rsidRPr="002511A9">
        <w:rPr>
          <w:rFonts w:asciiTheme="majorBidi" w:hAnsiTheme="majorBidi" w:cstheme="majorBidi"/>
          <w:b/>
          <w:bCs/>
        </w:rPr>
        <w:t xml:space="preserve">l’appel de note </w:t>
      </w:r>
      <w:r w:rsidRPr="002511A9">
        <w:rPr>
          <w:rFonts w:asciiTheme="majorBidi" w:hAnsiTheme="majorBidi" w:cstheme="majorBidi"/>
        </w:rPr>
        <w:t>(petit chiffre en exposant accolé à la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citation) que l’on reproduit au début de la référence : on indique le chiffre suivi d’un point.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Il est préférable de compter les notes par document plutôt que de recommencer à 1 à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chaque page. Les notes sont saisies à simple interligne dans un caractère plus petit que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celui du texte principal (en général plus petit de deux points). Chaque note est séparée de la</w:t>
      </w: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suivante par un double interligne.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• Les traitements de texte rendent cette tâche d’une simplicité enfantine. Si vous ne disposez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que d’une bonne vieille dactylo, il est possible de placer les notes de référence à la fin du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travail.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• La référence comprend les éléments habituels de la bibliographie dans l’ordre suivant : le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prénom et le nom de l’auteur, le titre, le lieu, l’édition, l’année, la page. Si, comme il arrive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fréquemment, vous citez plus d’une fois le même ouvrage ou le même auteur, il convient</w:t>
      </w:r>
      <w:r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 xml:space="preserve">d’avoir recours à des </w:t>
      </w:r>
      <w:r w:rsidRPr="002511A9">
        <w:rPr>
          <w:rFonts w:asciiTheme="majorBidi" w:hAnsiTheme="majorBidi" w:cstheme="majorBidi"/>
          <w:b/>
          <w:bCs/>
        </w:rPr>
        <w:t xml:space="preserve">abréviations </w:t>
      </w:r>
      <w:r w:rsidRPr="002511A9">
        <w:rPr>
          <w:rFonts w:asciiTheme="majorBidi" w:hAnsiTheme="majorBidi" w:cstheme="majorBidi"/>
        </w:rPr>
        <w:t xml:space="preserve">d’origine latine que l’on met en </w:t>
      </w:r>
      <w:r w:rsidRPr="002511A9">
        <w:rPr>
          <w:rFonts w:asciiTheme="majorBidi" w:hAnsiTheme="majorBidi" w:cstheme="majorBidi"/>
          <w:i/>
          <w:iCs/>
        </w:rPr>
        <w:t xml:space="preserve">italique </w:t>
      </w:r>
      <w:r w:rsidRPr="002511A9">
        <w:rPr>
          <w:rFonts w:asciiTheme="majorBidi" w:hAnsiTheme="majorBidi" w:cstheme="majorBidi"/>
        </w:rPr>
        <w:t>:</w:t>
      </w:r>
    </w:p>
    <w:p w:rsidR="00B13CC6" w:rsidRPr="002511A9" w:rsidRDefault="00B13CC6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-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Ibid</w:t>
      </w:r>
      <w:r w:rsidRPr="002511A9">
        <w:rPr>
          <w:rFonts w:asciiTheme="majorBidi" w:hAnsiTheme="majorBidi" w:cstheme="majorBidi"/>
          <w:sz w:val="20"/>
          <w:szCs w:val="20"/>
        </w:rPr>
        <w:t>., Ibidem (au même endroit) : Veut dire que l’on se réfère à l’ouvrage que l’on vient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tout juste de citer dans la note précédente. On ajoute l’indication de la page.</w:t>
      </w:r>
    </w:p>
    <w:p w:rsidR="00B13CC6" w:rsidRDefault="00B13CC6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-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Id</w:t>
      </w:r>
      <w:r w:rsidRPr="002511A9">
        <w:rPr>
          <w:rFonts w:asciiTheme="majorBidi" w:hAnsiTheme="majorBidi" w:cstheme="majorBidi"/>
          <w:sz w:val="20"/>
          <w:szCs w:val="20"/>
        </w:rPr>
        <w:t>., Idem (le même auteur) : Remplace le nom de l’auteur qu’on vient juste de citer mais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pour un ouvrage différent. On fait suivre l’abréviation de la notice complète de la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référence.</w:t>
      </w:r>
    </w:p>
    <w:p w:rsidR="00B13CC6" w:rsidRDefault="00B13CC6" w:rsidP="00B13CC6">
      <w:pPr>
        <w:spacing w:line="276" w:lineRule="auto"/>
        <w:rPr>
          <w:rFonts w:asciiTheme="majorBidi" w:hAnsiTheme="majorBidi" w:cstheme="majorBidi"/>
          <w:sz w:val="20"/>
          <w:szCs w:val="20"/>
        </w:rPr>
      </w:pPr>
    </w:p>
    <w:p w:rsidR="00B13CC6" w:rsidRDefault="002511A9" w:rsidP="00B13CC6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-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 xml:space="preserve">Op. </w:t>
      </w:r>
      <w:proofErr w:type="spellStart"/>
      <w:r w:rsidRPr="002511A9">
        <w:rPr>
          <w:rFonts w:asciiTheme="majorBidi" w:hAnsiTheme="majorBidi" w:cstheme="majorBidi"/>
          <w:i/>
          <w:iCs/>
          <w:sz w:val="20"/>
          <w:szCs w:val="20"/>
        </w:rPr>
        <w:t>cit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Opere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citato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 (dans l’ouvrage cité) : Lorsque vous revenez à un ouvrage dont vous avez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déjà donné la référence dans une note précédente. Dans ce cas vous mentionnez le nom de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l’auteur, l’abréviation et l’indication de la page.</w:t>
      </w:r>
      <w:r w:rsidR="009E3BB7">
        <w:rPr>
          <w:rFonts w:asciiTheme="majorBidi" w:hAnsiTheme="majorBidi" w:cstheme="majorBidi"/>
          <w:sz w:val="20"/>
          <w:szCs w:val="20"/>
        </w:rPr>
        <w:t xml:space="preserve">                                         </w:t>
      </w:r>
    </w:p>
    <w:p w:rsidR="002511A9" w:rsidRPr="002511A9" w:rsidRDefault="002511A9" w:rsidP="00B13CC6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-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 xml:space="preserve">Loc. </w:t>
      </w:r>
      <w:proofErr w:type="spellStart"/>
      <w:r w:rsidRPr="002511A9">
        <w:rPr>
          <w:rFonts w:asciiTheme="majorBidi" w:hAnsiTheme="majorBidi" w:cstheme="majorBidi"/>
          <w:i/>
          <w:iCs/>
          <w:sz w:val="20"/>
          <w:szCs w:val="20"/>
        </w:rPr>
        <w:t>cit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., Loco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citato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 (dans l’article cité) : Même usage que l’abréviation précédente dans le cas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d’un article de périodique.</w:t>
      </w:r>
    </w:p>
    <w:p w:rsidR="002511A9" w:rsidRPr="002511A9" w:rsidRDefault="002511A9" w:rsidP="00B13CC6">
      <w:pPr>
        <w:spacing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511A9">
        <w:rPr>
          <w:rFonts w:asciiTheme="majorBidi" w:hAnsiTheme="majorBidi" w:cstheme="majorBidi"/>
          <w:sz w:val="24"/>
          <w:szCs w:val="24"/>
        </w:rPr>
        <w:t>L’exemple suivant vous permet de voir comment on indique les notes de références et</w:t>
      </w:r>
      <w:r w:rsidR="00B13CC6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co</w:t>
      </w:r>
      <w:r w:rsidR="00B13CC6">
        <w:rPr>
          <w:rFonts w:asciiTheme="majorBidi" w:hAnsiTheme="majorBidi" w:cstheme="majorBidi"/>
          <w:sz w:val="24"/>
          <w:szCs w:val="24"/>
        </w:rPr>
        <w:t>mment utiliser les abréviations:</w:t>
      </w:r>
    </w:p>
    <w:p w:rsidR="009E3BB7" w:rsidRPr="002511A9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511A9" w:rsidRPr="009E3BB7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1. Paul Kennedy,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Naissance et déclin des grandes puissances : transformations</w:t>
      </w:r>
      <w:r w:rsidR="009E3BB7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économiques et conflits militaires entre 1500 et 2 000</w:t>
      </w:r>
      <w:r w:rsidRPr="002511A9">
        <w:rPr>
          <w:rFonts w:asciiTheme="majorBidi" w:hAnsiTheme="majorBidi" w:cstheme="majorBidi"/>
          <w:sz w:val="20"/>
          <w:szCs w:val="20"/>
        </w:rPr>
        <w:t>, Paris, Payot, 1991, p. 45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2.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Ibid</w:t>
      </w:r>
      <w:r w:rsidRPr="002511A9">
        <w:rPr>
          <w:rFonts w:asciiTheme="majorBidi" w:hAnsiTheme="majorBidi" w:cstheme="majorBidi"/>
          <w:sz w:val="20"/>
          <w:szCs w:val="20"/>
        </w:rPr>
        <w:t>., p. 46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3. Michel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Winock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, « Le Front national : Portrait historique d’un parti d’extrême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 xml:space="preserve">droite »,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l’Histoire</w:t>
      </w:r>
      <w:r w:rsidRPr="002511A9">
        <w:rPr>
          <w:rFonts w:asciiTheme="majorBidi" w:hAnsiTheme="majorBidi" w:cstheme="majorBidi"/>
          <w:sz w:val="20"/>
          <w:szCs w:val="20"/>
        </w:rPr>
        <w:t>, n</w:t>
      </w:r>
      <w:r w:rsidRPr="002511A9">
        <w:rPr>
          <w:rFonts w:asciiTheme="majorBidi" w:hAnsiTheme="majorBidi" w:cstheme="majorBidi"/>
          <w:sz w:val="13"/>
          <w:szCs w:val="13"/>
        </w:rPr>
        <w:t xml:space="preserve">o </w:t>
      </w:r>
      <w:r w:rsidRPr="002511A9">
        <w:rPr>
          <w:rFonts w:asciiTheme="majorBidi" w:hAnsiTheme="majorBidi" w:cstheme="majorBidi"/>
          <w:sz w:val="20"/>
          <w:szCs w:val="20"/>
        </w:rPr>
        <w:t>219, (mars 1998), p. 34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511A9">
        <w:rPr>
          <w:rFonts w:asciiTheme="majorBidi" w:hAnsiTheme="majorBidi" w:cstheme="majorBidi"/>
          <w:sz w:val="20"/>
          <w:szCs w:val="20"/>
          <w:lang w:val="en-US"/>
        </w:rPr>
        <w:t xml:space="preserve">4. Paul Kennedy, </w:t>
      </w:r>
      <w:r w:rsidRPr="002511A9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op. cit., 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p. 47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5.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Id</w:t>
      </w:r>
      <w:r w:rsidRPr="002511A9">
        <w:rPr>
          <w:rFonts w:asciiTheme="majorBidi" w:hAnsiTheme="majorBidi" w:cstheme="majorBidi"/>
          <w:sz w:val="20"/>
          <w:szCs w:val="20"/>
        </w:rPr>
        <w:t xml:space="preserve">.,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Préparer le XXI</w:t>
      </w:r>
      <w:r w:rsidRPr="002511A9">
        <w:rPr>
          <w:rFonts w:asciiTheme="majorBidi" w:hAnsiTheme="majorBidi" w:cstheme="majorBidi"/>
          <w:i/>
          <w:iCs/>
          <w:sz w:val="13"/>
          <w:szCs w:val="13"/>
        </w:rPr>
        <w:t xml:space="preserve">e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siècle</w:t>
      </w:r>
      <w:r w:rsidRPr="002511A9">
        <w:rPr>
          <w:rFonts w:asciiTheme="majorBidi" w:hAnsiTheme="majorBidi" w:cstheme="majorBidi"/>
          <w:sz w:val="20"/>
          <w:szCs w:val="20"/>
        </w:rPr>
        <w:t>, Paris, Odile Jacob, 1994, p. 261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6. Michel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Winock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,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 xml:space="preserve">loc. </w:t>
      </w:r>
      <w:proofErr w:type="spellStart"/>
      <w:r w:rsidRPr="002511A9">
        <w:rPr>
          <w:rFonts w:asciiTheme="majorBidi" w:hAnsiTheme="majorBidi" w:cstheme="majorBidi"/>
          <w:i/>
          <w:iCs/>
          <w:sz w:val="20"/>
          <w:szCs w:val="20"/>
        </w:rPr>
        <w:t>cit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., p. 35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>7. On peut également se servir des notes en bas de page pour donner une information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ou faire un commentaire en marge du texte proprement dit. On les intercale selon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les besoins dans les notes de références.</w:t>
      </w:r>
    </w:p>
    <w:p w:rsidR="002511A9" w:rsidRPr="002511A9" w:rsidRDefault="002511A9" w:rsidP="00B13CC6">
      <w:pPr>
        <w:spacing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lastRenderedPageBreak/>
        <w:t>Considérations générales</w:t>
      </w:r>
      <w:r w:rsidR="009E3BB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E3BB7" w:rsidRPr="002511A9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511A9">
        <w:rPr>
          <w:rFonts w:asciiTheme="majorBidi" w:hAnsiTheme="majorBidi" w:cstheme="majorBidi"/>
          <w:sz w:val="24"/>
          <w:szCs w:val="24"/>
        </w:rPr>
        <w:t>Une notice bibliographique complète doit contenir, dans l’ordre, les éléments suivants :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Le </w:t>
      </w:r>
      <w:r w:rsidRPr="002511A9">
        <w:rPr>
          <w:rFonts w:asciiTheme="majorBidi" w:hAnsiTheme="majorBidi" w:cstheme="majorBidi"/>
          <w:i/>
          <w:iCs/>
        </w:rPr>
        <w:t xml:space="preserve">nom de l’auteur </w:t>
      </w:r>
      <w:r w:rsidRPr="002511A9">
        <w:rPr>
          <w:rFonts w:asciiTheme="majorBidi" w:hAnsiTheme="majorBidi" w:cstheme="majorBidi"/>
        </w:rPr>
        <w:t>(majuscules) séparé du prénom (minuscules) par une virgule. On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met un point après le prénom. Tous les autres éléments de la notice sont séparés par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une virgule. La notice se termine par un point.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Le </w:t>
      </w:r>
      <w:r w:rsidRPr="002511A9">
        <w:rPr>
          <w:rFonts w:asciiTheme="majorBidi" w:hAnsiTheme="majorBidi" w:cstheme="majorBidi"/>
          <w:i/>
          <w:iCs/>
        </w:rPr>
        <w:t xml:space="preserve">titre de l’ouvrage </w:t>
      </w:r>
      <w:r w:rsidRPr="002511A9">
        <w:rPr>
          <w:rFonts w:asciiTheme="majorBidi" w:hAnsiTheme="majorBidi" w:cstheme="majorBidi"/>
        </w:rPr>
        <w:t>est en italique (ou souligné). Le sous-titre, s’il y a lieu, est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séparé par deux points (:). Seules les premières lettres du titre et du sous-titre sont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en majuscules. À noter cependant, qu’en anglais, on met une majuscule à tous les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mots du titre sauf pour les articles, prépositions et conjonctions. On indique, s’il y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a lieu, le numéro de l’édition (par ex. : 3</w:t>
      </w:r>
      <w:r w:rsidRPr="002511A9">
        <w:rPr>
          <w:rFonts w:asciiTheme="majorBidi" w:hAnsiTheme="majorBidi" w:cstheme="majorBidi"/>
          <w:sz w:val="14"/>
          <w:szCs w:val="14"/>
        </w:rPr>
        <w:t xml:space="preserve">e </w:t>
      </w:r>
      <w:r w:rsidRPr="002511A9">
        <w:rPr>
          <w:rFonts w:asciiTheme="majorBidi" w:hAnsiTheme="majorBidi" w:cstheme="majorBidi"/>
        </w:rPr>
        <w:t>éd.) qui apparaît en tête de l’ouvrage.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Le </w:t>
      </w:r>
      <w:r w:rsidRPr="002511A9">
        <w:rPr>
          <w:rFonts w:asciiTheme="majorBidi" w:hAnsiTheme="majorBidi" w:cstheme="majorBidi"/>
          <w:i/>
          <w:iCs/>
        </w:rPr>
        <w:t xml:space="preserve">lieu </w:t>
      </w:r>
      <w:r w:rsidRPr="002511A9">
        <w:rPr>
          <w:rFonts w:asciiTheme="majorBidi" w:hAnsiTheme="majorBidi" w:cstheme="majorBidi"/>
        </w:rPr>
        <w:t>(ville) de parution de l’ouvrage. Si la mention du lieu est introuvable, on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 xml:space="preserve">utilise l’abréviation « </w:t>
      </w:r>
      <w:proofErr w:type="spellStart"/>
      <w:r w:rsidRPr="002511A9">
        <w:rPr>
          <w:rFonts w:asciiTheme="majorBidi" w:hAnsiTheme="majorBidi" w:cstheme="majorBidi"/>
        </w:rPr>
        <w:t>s.l</w:t>
      </w:r>
      <w:proofErr w:type="spellEnd"/>
      <w:r w:rsidRPr="002511A9">
        <w:rPr>
          <w:rFonts w:asciiTheme="majorBidi" w:hAnsiTheme="majorBidi" w:cstheme="majorBidi"/>
        </w:rPr>
        <w:t>. » qui signifie « sans lieu ».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La </w:t>
      </w:r>
      <w:r w:rsidRPr="002511A9">
        <w:rPr>
          <w:rFonts w:asciiTheme="majorBidi" w:hAnsiTheme="majorBidi" w:cstheme="majorBidi"/>
          <w:i/>
          <w:iCs/>
        </w:rPr>
        <w:t xml:space="preserve">maison d’édition </w:t>
      </w:r>
      <w:r w:rsidRPr="002511A9">
        <w:rPr>
          <w:rFonts w:asciiTheme="majorBidi" w:hAnsiTheme="majorBidi" w:cstheme="majorBidi"/>
        </w:rPr>
        <w:t>suivie, s’il y a lieu, du nom de la collection. (par ex. : Seuil, coll.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«Points», n</w:t>
      </w:r>
      <w:r w:rsidRPr="002511A9">
        <w:rPr>
          <w:rFonts w:asciiTheme="majorBidi" w:hAnsiTheme="majorBidi" w:cstheme="majorBidi"/>
          <w:sz w:val="14"/>
          <w:szCs w:val="14"/>
        </w:rPr>
        <w:t xml:space="preserve">o </w:t>
      </w:r>
      <w:r w:rsidRPr="002511A9">
        <w:rPr>
          <w:rFonts w:asciiTheme="majorBidi" w:hAnsiTheme="majorBidi" w:cstheme="majorBidi"/>
        </w:rPr>
        <w:t>123 ).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La </w:t>
      </w:r>
      <w:r w:rsidRPr="002511A9">
        <w:rPr>
          <w:rFonts w:asciiTheme="majorBidi" w:hAnsiTheme="majorBidi" w:cstheme="majorBidi"/>
          <w:i/>
          <w:iCs/>
        </w:rPr>
        <w:t>date de parution</w:t>
      </w:r>
      <w:r w:rsidRPr="002511A9">
        <w:rPr>
          <w:rFonts w:asciiTheme="majorBidi" w:hAnsiTheme="majorBidi" w:cstheme="majorBidi"/>
        </w:rPr>
        <w:t>. On indique la date la plus récente du copyright (celle de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l’édition que l’on a effectivement consultée). Si la date est introuvable, indiquez-le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 xml:space="preserve">par la mention « </w:t>
      </w:r>
      <w:proofErr w:type="spellStart"/>
      <w:r w:rsidRPr="002511A9">
        <w:rPr>
          <w:rFonts w:asciiTheme="majorBidi" w:hAnsiTheme="majorBidi" w:cstheme="majorBidi"/>
        </w:rPr>
        <w:t>s.d</w:t>
      </w:r>
      <w:proofErr w:type="spellEnd"/>
      <w:r w:rsidRPr="002511A9">
        <w:rPr>
          <w:rFonts w:asciiTheme="majorBidi" w:hAnsiTheme="majorBidi" w:cstheme="majorBidi"/>
        </w:rPr>
        <w:t>. » qui signifie « sans date ».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Le </w:t>
      </w:r>
      <w:r w:rsidRPr="002511A9">
        <w:rPr>
          <w:rFonts w:asciiTheme="majorBidi" w:hAnsiTheme="majorBidi" w:cstheme="majorBidi"/>
          <w:i/>
          <w:iCs/>
        </w:rPr>
        <w:t xml:space="preserve">nombre de pages </w:t>
      </w:r>
      <w:r w:rsidRPr="002511A9">
        <w:rPr>
          <w:rFonts w:asciiTheme="majorBidi" w:hAnsiTheme="majorBidi" w:cstheme="majorBidi"/>
        </w:rPr>
        <w:t>totales de l’ouvrage ou des pages consultées. On utilise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l’abréviation « p. ».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 xml:space="preserve">• La </w:t>
      </w:r>
      <w:r w:rsidRPr="002511A9">
        <w:rPr>
          <w:rFonts w:asciiTheme="majorBidi" w:hAnsiTheme="majorBidi" w:cstheme="majorBidi"/>
          <w:i/>
          <w:iCs/>
        </w:rPr>
        <w:t xml:space="preserve">bibliographie </w:t>
      </w:r>
      <w:r w:rsidRPr="002511A9">
        <w:rPr>
          <w:rFonts w:asciiTheme="majorBidi" w:hAnsiTheme="majorBidi" w:cstheme="majorBidi"/>
        </w:rPr>
        <w:t>se présente par ordre alphabétique d’auteurs. Pour deux ouvrages du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même auteur, on se réfère aux dates de parution (en commençant par la plus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ancienne).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2.6.2 La notice d’un livre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seul auteur :</w:t>
      </w:r>
    </w:p>
    <w:p w:rsidR="002511A9" w:rsidRPr="009E3BB7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BEZBAKH, Pierre.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L’histoire de France des origines à 1914</w:t>
      </w:r>
      <w:r w:rsidRPr="002511A9">
        <w:rPr>
          <w:rFonts w:asciiTheme="majorBidi" w:hAnsiTheme="majorBidi" w:cstheme="majorBidi"/>
          <w:sz w:val="20"/>
          <w:szCs w:val="20"/>
        </w:rPr>
        <w:t>, Paris, Bordas, coll.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« Les Compacts», n</w:t>
      </w:r>
      <w:r w:rsidRPr="002511A9">
        <w:rPr>
          <w:rFonts w:asciiTheme="majorBidi" w:hAnsiTheme="majorBidi" w:cstheme="majorBidi"/>
          <w:sz w:val="13"/>
          <w:szCs w:val="13"/>
          <w:lang w:val="en-US"/>
        </w:rPr>
        <w:t xml:space="preserve">o 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14, 1994, 255 p.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2511A9" w:rsidRPr="009E3BB7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511A9">
        <w:rPr>
          <w:rFonts w:asciiTheme="majorBidi" w:hAnsiTheme="majorBidi" w:cstheme="majorBidi"/>
          <w:sz w:val="20"/>
          <w:szCs w:val="20"/>
          <w:lang w:val="en-US"/>
        </w:rPr>
        <w:t xml:space="preserve">JONES, A. H. M. </w:t>
      </w:r>
      <w:r w:rsidRPr="002511A9">
        <w:rPr>
          <w:rFonts w:asciiTheme="majorBidi" w:hAnsiTheme="majorBidi" w:cstheme="majorBidi"/>
          <w:i/>
          <w:iCs/>
          <w:sz w:val="20"/>
          <w:szCs w:val="20"/>
          <w:lang w:val="en-US"/>
        </w:rPr>
        <w:t>The Decline of the Ancient World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, New York, Holt, Rinehart and</w:t>
      </w:r>
      <w:r w:rsidR="009E3BB7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E3BB7">
        <w:rPr>
          <w:rFonts w:asciiTheme="majorBidi" w:hAnsiTheme="majorBidi" w:cstheme="majorBidi"/>
          <w:sz w:val="20"/>
          <w:szCs w:val="20"/>
          <w:lang w:val="en-US"/>
        </w:rPr>
        <w:t>Winston, 1966, 414 p.</w:t>
      </w: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E3BB7" w:rsidRP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La notice d’un seul chapitre d’un livre :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Dans le cas où vous vous référez à seulement une partie d’un ouvrage, vous indiquez d’abord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le titre du chapitre ou de la section entre guillemets, suivi du titre du livre en italique.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Indiquez les pages concernées.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9E3BB7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BRAUDEL, Fernand. « L’industrialisation de l’Europe », dans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Grammaire des</w:t>
      </w:r>
      <w:r w:rsidR="009E3BB7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civilisations</w:t>
      </w:r>
      <w:r w:rsidRPr="002511A9">
        <w:rPr>
          <w:rFonts w:asciiTheme="majorBidi" w:hAnsiTheme="majorBidi" w:cstheme="majorBidi"/>
          <w:sz w:val="20"/>
          <w:szCs w:val="20"/>
        </w:rPr>
        <w:t>, Paris, Flammarion, coll. « Champs », 1993, p. 412-436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Lorsqu’il y a deux ou trois auteurs :</w:t>
      </w:r>
    </w:p>
    <w:p w:rsidR="002511A9" w:rsidRPr="009E3BB7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À l’intérieur de la notice on indique les noms dans le même ordre et de la même façon qu’ils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sont inscrits sur la page de titre de l’ouvrage et non en respectant l’ordre alphabétique</w:t>
      </w:r>
      <w:r w:rsidRPr="002511A9">
        <w:rPr>
          <w:rFonts w:asciiTheme="majorBidi" w:hAnsiTheme="majorBidi" w:cstheme="majorBidi"/>
          <w:sz w:val="24"/>
          <w:szCs w:val="24"/>
        </w:rPr>
        <w:t>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  <w:lang w:val="en-US"/>
        </w:rPr>
        <w:t xml:space="preserve">DICKINSON, John et Brian YOUNG.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Brève histoire socio- économique du Québec</w:t>
      </w:r>
      <w:r w:rsidRPr="002511A9">
        <w:rPr>
          <w:rFonts w:asciiTheme="majorBidi" w:hAnsiTheme="majorBidi" w:cstheme="majorBidi"/>
          <w:sz w:val="20"/>
          <w:szCs w:val="20"/>
        </w:rPr>
        <w:t>,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Sillery, Septentrion, 1992, 382 p.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9E3BB7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i/>
          <w:iCs/>
          <w:sz w:val="13"/>
          <w:szCs w:val="13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CAROL, Anne, Jean GARRIGUES et Martin IVERNEL.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Dictionnaire d’histoire du XX</w:t>
      </w:r>
      <w:r w:rsidRPr="002511A9">
        <w:rPr>
          <w:rFonts w:asciiTheme="majorBidi" w:hAnsiTheme="majorBidi" w:cstheme="majorBidi"/>
          <w:i/>
          <w:iCs/>
          <w:sz w:val="13"/>
          <w:szCs w:val="13"/>
        </w:rPr>
        <w:t>e</w:t>
      </w:r>
      <w:r w:rsidR="009E3BB7">
        <w:rPr>
          <w:rFonts w:asciiTheme="majorBidi" w:hAnsiTheme="majorBidi" w:cstheme="majorBidi"/>
          <w:i/>
          <w:iCs/>
          <w:sz w:val="13"/>
          <w:szCs w:val="13"/>
        </w:rPr>
        <w:t xml:space="preserve">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siècle</w:t>
      </w:r>
      <w:r w:rsidRPr="002511A9">
        <w:rPr>
          <w:rFonts w:asciiTheme="majorBidi" w:hAnsiTheme="majorBidi" w:cstheme="majorBidi"/>
          <w:sz w:val="20"/>
          <w:szCs w:val="20"/>
        </w:rPr>
        <w:t>, Paris, Hatier, coll. « Initial », 1993, 499 p.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Plus de trois auteurs :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Quand il y a plus de trois auteurs, on ne retient que le premier et on remplace les autres par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 xml:space="preserve">l’expression « </w:t>
      </w:r>
      <w:r w:rsidRPr="002511A9">
        <w:rPr>
          <w:rFonts w:asciiTheme="majorBidi" w:hAnsiTheme="majorBidi" w:cstheme="majorBidi"/>
          <w:i/>
          <w:iCs/>
        </w:rPr>
        <w:t xml:space="preserve">et autres </w:t>
      </w:r>
      <w:r w:rsidRPr="002511A9">
        <w:rPr>
          <w:rFonts w:asciiTheme="majorBidi" w:hAnsiTheme="majorBidi" w:cstheme="majorBidi"/>
        </w:rPr>
        <w:t>».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LANGLOIS, Georges et autres.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Histoire du XX</w:t>
      </w:r>
      <w:r w:rsidRPr="002511A9">
        <w:rPr>
          <w:rFonts w:asciiTheme="majorBidi" w:hAnsiTheme="majorBidi" w:cstheme="majorBidi"/>
          <w:i/>
          <w:iCs/>
          <w:sz w:val="13"/>
          <w:szCs w:val="13"/>
        </w:rPr>
        <w:t xml:space="preserve">e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siècle</w:t>
      </w:r>
      <w:r w:rsidRPr="002511A9">
        <w:rPr>
          <w:rFonts w:asciiTheme="majorBidi" w:hAnsiTheme="majorBidi" w:cstheme="majorBidi"/>
          <w:sz w:val="20"/>
          <w:szCs w:val="20"/>
        </w:rPr>
        <w:t>, Laval, Beauchemin, 1994, 577 p.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ouvrage collectif :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Il arrive fréquemment qu’un ouvrage présente un regroupement d’auteurs aux contributions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diverses. Généralement les textes sont rassemblés et présentés par une personne qui assume la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 xml:space="preserve">direction du projet. C’est cette personne que vous nommez en ajoutant l’abréviation « </w:t>
      </w:r>
      <w:proofErr w:type="spellStart"/>
      <w:r w:rsidRPr="002511A9">
        <w:rPr>
          <w:rFonts w:asciiTheme="majorBidi" w:hAnsiTheme="majorBidi" w:cstheme="majorBidi"/>
        </w:rPr>
        <w:t>dir</w:t>
      </w:r>
      <w:proofErr w:type="spellEnd"/>
      <w:r w:rsidRPr="002511A9">
        <w:rPr>
          <w:rFonts w:asciiTheme="majorBidi" w:hAnsiTheme="majorBidi" w:cstheme="majorBidi"/>
        </w:rPr>
        <w:t>. »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qui indique qu’il s’agit d’un ouvrage collectif qui a été réalisé sous sa direction.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>ROUILLARD, Jacques (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dir</w:t>
      </w:r>
      <w:proofErr w:type="spellEnd"/>
      <w:r w:rsidRPr="002511A9">
        <w:rPr>
          <w:rFonts w:asciiTheme="majorBidi" w:hAnsiTheme="majorBidi" w:cstheme="majorBidi"/>
          <w:i/>
          <w:iCs/>
          <w:sz w:val="20"/>
          <w:szCs w:val="20"/>
        </w:rPr>
        <w:t>.). Guide d’histoire du Québec du régime français à nos jours :</w:t>
      </w:r>
      <w:r w:rsidR="009E3BB7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Bibliographie commentée</w:t>
      </w:r>
      <w:r w:rsidRPr="002511A9">
        <w:rPr>
          <w:rFonts w:asciiTheme="majorBidi" w:hAnsiTheme="majorBidi" w:cstheme="majorBidi"/>
          <w:sz w:val="20"/>
          <w:szCs w:val="20"/>
        </w:rPr>
        <w:t xml:space="preserve">, s.l., Méridien, coll.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 xml:space="preserve">« Histoire </w:t>
      </w:r>
      <w:r w:rsidRPr="002511A9">
        <w:rPr>
          <w:rFonts w:asciiTheme="majorBidi" w:hAnsiTheme="majorBidi" w:cstheme="majorBidi"/>
          <w:sz w:val="20"/>
          <w:szCs w:val="20"/>
        </w:rPr>
        <w:t>», 1991, 368 p.</w:t>
      </w:r>
    </w:p>
    <w:p w:rsidR="009E3BB7" w:rsidRP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i/>
          <w:iCs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seul chapitre d’un ouvrage collectif :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Il faut indiquer le ou les auteur(s) du chapitre auquel on se réfère, en premier. Vous indiquez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ensuite le nom du directeur après le titre de l’ouvrage et le reste de la référence. Vous</w:t>
      </w:r>
      <w:r w:rsidR="009E3BB7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indiquez uniquement les pages consultées.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FERRO, Marc. « Penser la Première Guerre mondiale », dans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Penser le XX</w:t>
      </w:r>
      <w:r w:rsidRPr="002511A9">
        <w:rPr>
          <w:rFonts w:asciiTheme="majorBidi" w:hAnsiTheme="majorBidi" w:cstheme="majorBidi"/>
          <w:i/>
          <w:iCs/>
          <w:sz w:val="13"/>
          <w:szCs w:val="13"/>
        </w:rPr>
        <w:t xml:space="preserve">e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siècle</w:t>
      </w:r>
      <w:r w:rsidRPr="002511A9">
        <w:rPr>
          <w:rFonts w:asciiTheme="majorBidi" w:hAnsiTheme="majorBidi" w:cstheme="majorBidi"/>
          <w:sz w:val="20"/>
          <w:szCs w:val="20"/>
        </w:rPr>
        <w:t>, sous la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 xml:space="preserve">direction de André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Versaille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, Paris, Complexe, coll. « Questions au XX</w:t>
      </w:r>
      <w:r w:rsidRPr="002511A9">
        <w:rPr>
          <w:rFonts w:asciiTheme="majorBidi" w:hAnsiTheme="majorBidi" w:cstheme="majorBidi"/>
          <w:sz w:val="13"/>
          <w:szCs w:val="13"/>
        </w:rPr>
        <w:t xml:space="preserve">e </w:t>
      </w:r>
      <w:r w:rsidRPr="002511A9">
        <w:rPr>
          <w:rFonts w:asciiTheme="majorBidi" w:hAnsiTheme="majorBidi" w:cstheme="majorBidi"/>
          <w:sz w:val="20"/>
          <w:szCs w:val="20"/>
        </w:rPr>
        <w:t>siècle », no 16, p.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19 à 30</w:t>
      </w: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>GUAY, Jean et François ROCHER, « De la difficile reconnaissance de la spécificité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 xml:space="preserve">québécoise », dans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Bilan du fédéralisme canadien</w:t>
      </w:r>
      <w:r w:rsidRPr="002511A9">
        <w:rPr>
          <w:rFonts w:asciiTheme="majorBidi" w:hAnsiTheme="majorBidi" w:cstheme="majorBidi"/>
          <w:sz w:val="20"/>
          <w:szCs w:val="20"/>
        </w:rPr>
        <w:t xml:space="preserve">, sous la direction de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Francois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 Rocher,</w:t>
      </w:r>
      <w:r w:rsidR="009E3BB7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Montréal, VLB, 1992, p. 58-78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</w:p>
    <w:p w:rsidR="009E3BB7" w:rsidRDefault="009E3BB7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2.6.3 La notice d’un article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511A9">
        <w:rPr>
          <w:rFonts w:asciiTheme="majorBidi" w:hAnsiTheme="majorBidi" w:cstheme="majorBidi"/>
          <w:sz w:val="24"/>
          <w:szCs w:val="24"/>
        </w:rPr>
        <w:t>L’article est un extrait autonome d’une source plus vaste. Le dictionnaire Robert définit</w:t>
      </w:r>
      <w:r w:rsidR="00781838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l’article comme suit : « Écrit formant par lui-même un tout distinct, mais faisant partie</w:t>
      </w:r>
      <w:r w:rsidR="00781838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d’une publication ». On distinguera ici les articles issus de périodiques et ceux issus</w:t>
      </w:r>
      <w:r w:rsidR="00781838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d’encyclopédies ou de dictionnaires.</w:t>
      </w:r>
      <w:r w:rsidR="00781838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>Les périodiques désignent des publications échelonnées dans le temps (quotidien,</w:t>
      </w:r>
      <w:r w:rsidR="00781838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sz w:val="24"/>
          <w:szCs w:val="24"/>
        </w:rPr>
        <w:t xml:space="preserve">hebdomadaire, mensuel etc.) et classés par ordre de </w:t>
      </w:r>
      <w:r w:rsidRPr="002511A9">
        <w:rPr>
          <w:rFonts w:asciiTheme="majorBidi" w:hAnsiTheme="majorBidi" w:cstheme="majorBidi"/>
          <w:b/>
          <w:bCs/>
          <w:sz w:val="24"/>
          <w:szCs w:val="24"/>
        </w:rPr>
        <w:t>volumes,</w:t>
      </w:r>
      <w:r w:rsidR="00781838">
        <w:rPr>
          <w:rFonts w:asciiTheme="majorBidi" w:hAnsiTheme="majorBidi" w:cstheme="majorBidi"/>
          <w:sz w:val="24"/>
          <w:szCs w:val="24"/>
        </w:rPr>
        <w:t xml:space="preserve"> </w:t>
      </w:r>
      <w:r w:rsidRPr="002511A9">
        <w:rPr>
          <w:rFonts w:asciiTheme="majorBidi" w:hAnsiTheme="majorBidi" w:cstheme="majorBidi"/>
          <w:b/>
          <w:bCs/>
          <w:sz w:val="24"/>
          <w:szCs w:val="24"/>
        </w:rPr>
        <w:t>de numéros et de date</w:t>
      </w:r>
      <w:r w:rsidRPr="002511A9">
        <w:rPr>
          <w:rFonts w:asciiTheme="majorBidi" w:hAnsiTheme="majorBidi" w:cstheme="majorBidi"/>
          <w:sz w:val="24"/>
          <w:szCs w:val="24"/>
        </w:rPr>
        <w:t>.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article de journal :</w:t>
      </w:r>
    </w:p>
    <w:p w:rsidR="002511A9" w:rsidRPr="00781838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KHAN,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Jooneed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. « Les incohérences des pays riches exacerbent le sous développement : Un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 xml:space="preserve">rapport d’ONG réclame une mondialisation réglementée et équitable »,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La Presse</w:t>
      </w:r>
      <w:r w:rsidRPr="002511A9">
        <w:rPr>
          <w:rFonts w:asciiTheme="majorBidi" w:hAnsiTheme="majorBidi" w:cstheme="majorBidi"/>
          <w:sz w:val="20"/>
          <w:szCs w:val="20"/>
        </w:rPr>
        <w:t>, Montréal, I</w:t>
      </w:r>
      <w:r w:rsidRPr="002511A9">
        <w:rPr>
          <w:rFonts w:asciiTheme="majorBidi" w:hAnsiTheme="majorBidi" w:cstheme="majorBidi"/>
          <w:sz w:val="13"/>
          <w:szCs w:val="13"/>
        </w:rPr>
        <w:t>er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>novembre 1997, p. B6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</w:p>
    <w:p w:rsid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2511A9">
        <w:rPr>
          <w:rFonts w:asciiTheme="majorBidi" w:hAnsiTheme="majorBidi" w:cstheme="majorBidi"/>
        </w:rPr>
        <w:t>En l’absence du nom du journaliste ou du correspondant vous devez mentionner le nom de</w:t>
      </w:r>
      <w:r w:rsidR="00781838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l’agence de presse qui apparaît entre parenthèses au début de l’article : APC (Agence de presse</w:t>
      </w:r>
      <w:r w:rsidR="00781838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canadienne), AP et UPI (agences américaines) ou REUTER</w:t>
      </w:r>
      <w:r w:rsidRPr="002511A9">
        <w:rPr>
          <w:rFonts w:asciiTheme="majorBidi" w:hAnsiTheme="majorBidi" w:cstheme="majorBidi"/>
          <w:sz w:val="24"/>
          <w:szCs w:val="24"/>
        </w:rPr>
        <w:t>.</w:t>
      </w:r>
    </w:p>
    <w:p w:rsidR="00781838" w:rsidRP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article de revue :</w:t>
      </w: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2511A9">
        <w:rPr>
          <w:rFonts w:asciiTheme="majorBidi" w:hAnsiTheme="majorBidi" w:cstheme="majorBidi"/>
        </w:rPr>
        <w:t>On indique le titre de l’article entre guillemets et le nom du périodique est mis en italique ou</w:t>
      </w:r>
      <w:r w:rsidR="00781838">
        <w:rPr>
          <w:rFonts w:asciiTheme="majorBidi" w:hAnsiTheme="majorBidi" w:cstheme="majorBidi"/>
        </w:rPr>
        <w:t xml:space="preserve"> </w:t>
      </w:r>
      <w:r w:rsidRPr="002511A9">
        <w:rPr>
          <w:rFonts w:asciiTheme="majorBidi" w:hAnsiTheme="majorBidi" w:cstheme="majorBidi"/>
        </w:rPr>
        <w:t>souligné. On indique les pages concernées.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781838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>BRUNET, Michel. « Les Canadiens après la Conquête : Les débuts de la résistance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 xml:space="preserve">passive »,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Revue d’histoire de l’Amérique française</w:t>
      </w:r>
      <w:r w:rsidRPr="002511A9">
        <w:rPr>
          <w:rFonts w:asciiTheme="majorBidi" w:hAnsiTheme="majorBidi" w:cstheme="majorBidi"/>
          <w:sz w:val="20"/>
          <w:szCs w:val="20"/>
        </w:rPr>
        <w:t xml:space="preserve">, Vol. 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XII, n</w:t>
      </w:r>
      <w:r w:rsidRPr="002511A9">
        <w:rPr>
          <w:rFonts w:asciiTheme="majorBidi" w:hAnsiTheme="majorBidi" w:cstheme="majorBidi"/>
          <w:sz w:val="13"/>
          <w:szCs w:val="13"/>
          <w:lang w:val="en-US"/>
        </w:rPr>
        <w:t>o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2, (</w:t>
      </w:r>
      <w:proofErr w:type="spellStart"/>
      <w:r w:rsidRPr="002511A9">
        <w:rPr>
          <w:rFonts w:asciiTheme="majorBidi" w:hAnsiTheme="majorBidi" w:cstheme="majorBidi"/>
          <w:sz w:val="20"/>
          <w:szCs w:val="20"/>
          <w:lang w:val="en-US"/>
        </w:rPr>
        <w:t>septembre</w:t>
      </w:r>
      <w:proofErr w:type="spellEnd"/>
      <w:r w:rsidRPr="002511A9">
        <w:rPr>
          <w:rFonts w:asciiTheme="majorBidi" w:hAnsiTheme="majorBidi" w:cstheme="majorBidi"/>
          <w:sz w:val="20"/>
          <w:szCs w:val="20"/>
          <w:lang w:val="en-US"/>
        </w:rPr>
        <w:t xml:space="preserve"> 1958),p.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  <w:lang w:val="en-US"/>
        </w:rPr>
        <w:t>170-207.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81838">
        <w:rPr>
          <w:rFonts w:asciiTheme="majorBidi" w:hAnsiTheme="majorBidi" w:cstheme="majorBidi"/>
          <w:sz w:val="20"/>
          <w:szCs w:val="20"/>
        </w:rPr>
        <w:t xml:space="preserve">CHARTRAND, Luc. </w:t>
      </w:r>
      <w:r w:rsidRPr="002511A9">
        <w:rPr>
          <w:rFonts w:asciiTheme="majorBidi" w:hAnsiTheme="majorBidi" w:cstheme="majorBidi"/>
          <w:sz w:val="20"/>
          <w:szCs w:val="20"/>
        </w:rPr>
        <w:t xml:space="preserve">«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 xml:space="preserve">Dis-moi la vérité ! : 1930-1945 Le mythe du Québec fasciste </w:t>
      </w:r>
      <w:r w:rsidRPr="002511A9">
        <w:rPr>
          <w:rFonts w:asciiTheme="majorBidi" w:hAnsiTheme="majorBidi" w:cstheme="majorBidi"/>
          <w:sz w:val="20"/>
          <w:szCs w:val="20"/>
        </w:rPr>
        <w:t>»,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l’Actualité</w:t>
      </w:r>
      <w:r w:rsidRPr="002511A9">
        <w:rPr>
          <w:rFonts w:asciiTheme="majorBidi" w:hAnsiTheme="majorBidi" w:cstheme="majorBidi"/>
          <w:sz w:val="20"/>
          <w:szCs w:val="20"/>
        </w:rPr>
        <w:t>, Vol. 22, n</w:t>
      </w:r>
      <w:r w:rsidRPr="002511A9">
        <w:rPr>
          <w:rFonts w:asciiTheme="majorBidi" w:hAnsiTheme="majorBidi" w:cstheme="majorBidi"/>
          <w:sz w:val="13"/>
          <w:szCs w:val="13"/>
        </w:rPr>
        <w:t xml:space="preserve">o </w:t>
      </w:r>
      <w:r w:rsidRPr="002511A9">
        <w:rPr>
          <w:rFonts w:asciiTheme="majorBidi" w:hAnsiTheme="majorBidi" w:cstheme="majorBidi"/>
          <w:sz w:val="20"/>
          <w:szCs w:val="20"/>
        </w:rPr>
        <w:t>3, (1</w:t>
      </w:r>
      <w:r w:rsidRPr="002511A9">
        <w:rPr>
          <w:rFonts w:asciiTheme="majorBidi" w:hAnsiTheme="majorBidi" w:cstheme="majorBidi"/>
          <w:sz w:val="13"/>
          <w:szCs w:val="13"/>
        </w:rPr>
        <w:t xml:space="preserve">er </w:t>
      </w:r>
      <w:r w:rsidRPr="002511A9">
        <w:rPr>
          <w:rFonts w:asciiTheme="majorBidi" w:hAnsiTheme="majorBidi" w:cstheme="majorBidi"/>
          <w:sz w:val="20"/>
          <w:szCs w:val="20"/>
        </w:rPr>
        <w:t>mars 1997), p. 18-30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article de dictionnaire :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MOURRE, Michel. Dictionnaire encyclopédique d’histoire,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nouv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. éd., 1996, sous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« Commerce », t. 1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VEYRON, Michel.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Dictionnaire canadien des noms propres</w:t>
      </w:r>
      <w:r w:rsidRPr="002511A9">
        <w:rPr>
          <w:rFonts w:asciiTheme="majorBidi" w:hAnsiTheme="majorBidi" w:cstheme="majorBidi"/>
          <w:sz w:val="20"/>
          <w:szCs w:val="20"/>
        </w:rPr>
        <w:t>,s.l., Larousse, 1989, sous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>« Québec (Province de) », p. 556 à 571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DUBY, Georges. </w:t>
      </w:r>
      <w:r w:rsidRPr="002511A9">
        <w:rPr>
          <w:rFonts w:asciiTheme="majorBidi" w:hAnsiTheme="majorBidi" w:cstheme="majorBidi"/>
          <w:i/>
          <w:iCs/>
          <w:sz w:val="20"/>
          <w:szCs w:val="20"/>
        </w:rPr>
        <w:t>Dictionnaire du Moyen Age : Histoire et société</w:t>
      </w:r>
      <w:r w:rsidRPr="002511A9">
        <w:rPr>
          <w:rFonts w:asciiTheme="majorBidi" w:hAnsiTheme="majorBidi" w:cstheme="majorBidi"/>
          <w:sz w:val="20"/>
          <w:szCs w:val="20"/>
        </w:rPr>
        <w:t xml:space="preserve">, Paris,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Encyclopaedia</w:t>
      </w:r>
      <w:proofErr w:type="spellEnd"/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Universalis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 et Albin Michel, 1997, sous « Féodalité », p. 335-344.</w:t>
      </w:r>
    </w:p>
    <w:p w:rsidR="00781838" w:rsidRDefault="00781838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11A9" w:rsidRPr="002511A9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511A9">
        <w:rPr>
          <w:rFonts w:asciiTheme="majorBidi" w:hAnsiTheme="majorBidi" w:cstheme="majorBidi"/>
          <w:b/>
          <w:bCs/>
          <w:sz w:val="24"/>
          <w:szCs w:val="24"/>
        </w:rPr>
        <w:t>• Un article d’encyclopédie :</w:t>
      </w:r>
    </w:p>
    <w:p w:rsidR="002511A9" w:rsidRPr="00781838" w:rsidRDefault="002511A9" w:rsidP="00B13CC6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511A9">
        <w:rPr>
          <w:rFonts w:asciiTheme="majorBidi" w:hAnsiTheme="majorBidi" w:cstheme="majorBidi"/>
          <w:sz w:val="20"/>
          <w:szCs w:val="20"/>
        </w:rPr>
        <w:t xml:space="preserve">THÉPOT, André. « Nationalités (principe des) », </w:t>
      </w:r>
      <w:proofErr w:type="spellStart"/>
      <w:r w:rsidRPr="002511A9">
        <w:rPr>
          <w:rFonts w:asciiTheme="majorBidi" w:hAnsiTheme="majorBidi" w:cstheme="majorBidi"/>
          <w:i/>
          <w:iCs/>
          <w:sz w:val="20"/>
          <w:szCs w:val="20"/>
        </w:rPr>
        <w:t>Encyclopaedia</w:t>
      </w:r>
      <w:proofErr w:type="spellEnd"/>
      <w:r w:rsidRPr="002511A9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2511A9">
        <w:rPr>
          <w:rFonts w:asciiTheme="majorBidi" w:hAnsiTheme="majorBidi" w:cstheme="majorBidi"/>
          <w:i/>
          <w:iCs/>
          <w:sz w:val="20"/>
          <w:szCs w:val="20"/>
        </w:rPr>
        <w:t>Universalis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, 2</w:t>
      </w:r>
      <w:r w:rsidRPr="002511A9">
        <w:rPr>
          <w:rFonts w:asciiTheme="majorBidi" w:hAnsiTheme="majorBidi" w:cstheme="majorBidi"/>
          <w:sz w:val="13"/>
          <w:szCs w:val="13"/>
        </w:rPr>
        <w:t xml:space="preserve">e </w:t>
      </w:r>
      <w:r w:rsidRPr="002511A9">
        <w:rPr>
          <w:rFonts w:asciiTheme="majorBidi" w:hAnsiTheme="majorBidi" w:cstheme="majorBidi"/>
          <w:sz w:val="20"/>
          <w:szCs w:val="20"/>
        </w:rPr>
        <w:t>édition,</w:t>
      </w:r>
      <w:r w:rsidR="00781838">
        <w:rPr>
          <w:rFonts w:asciiTheme="majorBidi" w:hAnsiTheme="majorBidi" w:cstheme="majorBidi"/>
          <w:sz w:val="20"/>
          <w:szCs w:val="20"/>
        </w:rPr>
        <w:t xml:space="preserve"> </w:t>
      </w:r>
      <w:r w:rsidRPr="002511A9">
        <w:rPr>
          <w:rFonts w:asciiTheme="majorBidi" w:hAnsiTheme="majorBidi" w:cstheme="majorBidi"/>
          <w:sz w:val="20"/>
          <w:szCs w:val="20"/>
        </w:rPr>
        <w:t xml:space="preserve">Paris,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Encyclopaedia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511A9">
        <w:rPr>
          <w:rFonts w:asciiTheme="majorBidi" w:hAnsiTheme="majorBidi" w:cstheme="majorBidi"/>
          <w:sz w:val="20"/>
          <w:szCs w:val="20"/>
        </w:rPr>
        <w:t>Universalis</w:t>
      </w:r>
      <w:proofErr w:type="spellEnd"/>
      <w:r w:rsidRPr="002511A9">
        <w:rPr>
          <w:rFonts w:asciiTheme="majorBidi" w:hAnsiTheme="majorBidi" w:cstheme="majorBidi"/>
          <w:sz w:val="20"/>
          <w:szCs w:val="20"/>
        </w:rPr>
        <w:t>, 1983-85.</w:t>
      </w:r>
    </w:p>
    <w:sectPr w:rsidR="002511A9" w:rsidRPr="00781838" w:rsidSect="00251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511A9"/>
    <w:rsid w:val="0025062D"/>
    <w:rsid w:val="002511A9"/>
    <w:rsid w:val="003F4D07"/>
    <w:rsid w:val="00781838"/>
    <w:rsid w:val="009E3BB7"/>
    <w:rsid w:val="00B13CC6"/>
    <w:rsid w:val="00CD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2022-05-08T21:26:00Z</dcterms:created>
  <dcterms:modified xsi:type="dcterms:W3CDTF">2022-05-08T21:26:00Z</dcterms:modified>
</cp:coreProperties>
</file>