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DC" w:rsidRPr="00677F38" w:rsidRDefault="00246EDC" w:rsidP="00B53EC9">
      <w:pPr>
        <w:spacing w:after="120" w:line="360" w:lineRule="auto"/>
        <w:jc w:val="both"/>
        <w:rPr>
          <w:rFonts w:asciiTheme="majorBidi" w:hAnsiTheme="majorBidi" w:cstheme="majorBidi"/>
          <w:sz w:val="24"/>
          <w:szCs w:val="24"/>
        </w:rPr>
      </w:pPr>
      <w:r w:rsidRPr="00677F38">
        <w:rPr>
          <w:rFonts w:asciiTheme="majorBidi" w:hAnsiTheme="majorBidi" w:cstheme="majorBidi"/>
          <w:b/>
          <w:bCs/>
          <w:sz w:val="24"/>
          <w:szCs w:val="24"/>
        </w:rPr>
        <w:t>2.</w:t>
      </w:r>
      <w:r w:rsidRPr="00677F38">
        <w:rPr>
          <w:rFonts w:asciiTheme="majorBidi" w:hAnsiTheme="majorBidi" w:cstheme="majorBidi"/>
          <w:sz w:val="24"/>
          <w:szCs w:val="24"/>
        </w:rPr>
        <w:t xml:space="preserve"> </w:t>
      </w:r>
      <w:r w:rsidR="00B53EC9" w:rsidRPr="00677F38">
        <w:rPr>
          <w:rFonts w:asciiTheme="majorBidi" w:hAnsiTheme="majorBidi" w:cstheme="majorBidi"/>
          <w:b/>
          <w:bCs/>
          <w:sz w:val="24"/>
          <w:szCs w:val="24"/>
        </w:rPr>
        <w:t>L’antonymie :</w:t>
      </w:r>
      <w:r w:rsidR="00B53EC9" w:rsidRPr="00677F38">
        <w:rPr>
          <w:rFonts w:asciiTheme="majorBidi" w:hAnsiTheme="majorBidi" w:cstheme="majorBidi"/>
          <w:sz w:val="24"/>
          <w:szCs w:val="24"/>
        </w:rPr>
        <w:t xml:space="preserve"> </w:t>
      </w:r>
    </w:p>
    <w:p w:rsidR="006621C0" w:rsidRDefault="00246EDC" w:rsidP="005E6411">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Les</w:t>
      </w:r>
      <w:r w:rsidR="00B53EC9" w:rsidRPr="00677F38">
        <w:rPr>
          <w:rFonts w:asciiTheme="majorBidi" w:hAnsiTheme="majorBidi" w:cstheme="majorBidi"/>
          <w:sz w:val="24"/>
          <w:szCs w:val="24"/>
        </w:rPr>
        <w:t xml:space="preserve"> antonymes sont définis comme des mots de sens contraires, et comme tels, ils paraissent opposés aux synonymes. </w:t>
      </w:r>
      <w:r w:rsidRPr="00677F38">
        <w:rPr>
          <w:rFonts w:asciiTheme="majorBidi" w:hAnsiTheme="majorBidi" w:cstheme="majorBidi"/>
          <w:sz w:val="24"/>
          <w:szCs w:val="24"/>
        </w:rPr>
        <w:t xml:space="preserve">Cela étant dit, on peut admettre qu’ils  </w:t>
      </w:r>
      <w:r w:rsidR="00B53EC9" w:rsidRPr="00677F38">
        <w:rPr>
          <w:rFonts w:asciiTheme="majorBidi" w:hAnsiTheme="majorBidi" w:cstheme="majorBidi"/>
          <w:sz w:val="24"/>
          <w:szCs w:val="24"/>
        </w:rPr>
        <w:t xml:space="preserve">participent </w:t>
      </w:r>
      <w:r w:rsidR="005E6411" w:rsidRPr="00677F38">
        <w:rPr>
          <w:rFonts w:asciiTheme="majorBidi" w:hAnsiTheme="majorBidi" w:cstheme="majorBidi"/>
          <w:sz w:val="24"/>
          <w:szCs w:val="24"/>
        </w:rPr>
        <w:t>du même</w:t>
      </w:r>
      <w:r w:rsidR="00B53EC9" w:rsidRPr="00677F38">
        <w:rPr>
          <w:rFonts w:asciiTheme="majorBidi" w:hAnsiTheme="majorBidi" w:cstheme="majorBidi"/>
          <w:sz w:val="24"/>
          <w:szCs w:val="24"/>
        </w:rPr>
        <w:t xml:space="preserve"> processus</w:t>
      </w:r>
      <w:r w:rsidRPr="00677F38">
        <w:rPr>
          <w:rFonts w:asciiTheme="majorBidi" w:hAnsiTheme="majorBidi" w:cstheme="majorBidi"/>
          <w:sz w:val="24"/>
          <w:szCs w:val="24"/>
        </w:rPr>
        <w:t xml:space="preserve"> (synonymie partielle/antonymie partielle) </w:t>
      </w:r>
      <w:r w:rsidR="00B53EC9" w:rsidRPr="00677F38">
        <w:rPr>
          <w:rFonts w:asciiTheme="majorBidi" w:hAnsiTheme="majorBidi" w:cstheme="majorBidi"/>
          <w:sz w:val="24"/>
          <w:szCs w:val="24"/>
        </w:rPr>
        <w:t>puisqu’un mot polysémique a, selon les acceptions et les emp</w:t>
      </w:r>
      <w:r w:rsidR="005E6411" w:rsidRPr="00677F38">
        <w:rPr>
          <w:rFonts w:asciiTheme="majorBidi" w:hAnsiTheme="majorBidi" w:cstheme="majorBidi"/>
          <w:sz w:val="24"/>
          <w:szCs w:val="24"/>
        </w:rPr>
        <w:t xml:space="preserve">lois, des antonymes différents. </w:t>
      </w:r>
    </w:p>
    <w:p w:rsidR="002269CF" w:rsidRPr="00677F38" w:rsidRDefault="002269CF" w:rsidP="005E6411">
      <w:pPr>
        <w:spacing w:after="120" w:line="360" w:lineRule="auto"/>
        <w:jc w:val="both"/>
        <w:rPr>
          <w:rFonts w:asciiTheme="majorBidi" w:hAnsiTheme="majorBidi" w:cstheme="majorBidi"/>
          <w:sz w:val="24"/>
          <w:szCs w:val="24"/>
        </w:rPr>
      </w:pPr>
    </w:p>
    <w:p w:rsidR="00B53EC9" w:rsidRPr="00677F38" w:rsidRDefault="00B53EC9" w:rsidP="00B53EC9">
      <w:pPr>
        <w:spacing w:after="120" w:line="360" w:lineRule="auto"/>
        <w:jc w:val="both"/>
        <w:rPr>
          <w:rFonts w:asciiTheme="majorBidi" w:hAnsiTheme="majorBidi" w:cstheme="majorBidi"/>
          <w:b/>
          <w:bCs/>
          <w:sz w:val="24"/>
          <w:szCs w:val="24"/>
        </w:rPr>
      </w:pPr>
      <w:r w:rsidRPr="00677F38">
        <w:rPr>
          <w:rFonts w:asciiTheme="majorBidi" w:hAnsiTheme="majorBidi" w:cstheme="majorBidi"/>
          <w:b/>
          <w:bCs/>
          <w:sz w:val="24"/>
          <w:szCs w:val="24"/>
        </w:rPr>
        <w:t xml:space="preserve">2.1. </w:t>
      </w:r>
      <w:r w:rsidR="00ED6DE4">
        <w:rPr>
          <w:rFonts w:asciiTheme="majorBidi" w:hAnsiTheme="majorBidi" w:cstheme="majorBidi"/>
          <w:b/>
          <w:bCs/>
          <w:sz w:val="24"/>
          <w:szCs w:val="24"/>
        </w:rPr>
        <w:t>Les différents types d’antonymes</w:t>
      </w:r>
      <w:r w:rsidRPr="00677F38">
        <w:rPr>
          <w:rFonts w:asciiTheme="majorBidi" w:hAnsiTheme="majorBidi" w:cstheme="majorBidi"/>
          <w:b/>
          <w:bCs/>
          <w:sz w:val="24"/>
          <w:szCs w:val="24"/>
        </w:rPr>
        <w:t xml:space="preserve"> : </w:t>
      </w:r>
    </w:p>
    <w:p w:rsidR="00B53EC9" w:rsidRPr="00677F38" w:rsidRDefault="00B53EC9" w:rsidP="00B53EC9">
      <w:pPr>
        <w:spacing w:after="120" w:line="360" w:lineRule="auto"/>
        <w:jc w:val="both"/>
        <w:rPr>
          <w:rFonts w:asciiTheme="majorBidi" w:hAnsiTheme="majorBidi" w:cstheme="majorBidi"/>
          <w:b/>
          <w:bCs/>
          <w:sz w:val="24"/>
          <w:szCs w:val="24"/>
        </w:rPr>
      </w:pPr>
      <w:r w:rsidRPr="00677F38">
        <w:rPr>
          <w:rFonts w:asciiTheme="majorBidi" w:hAnsiTheme="majorBidi" w:cstheme="majorBidi"/>
          <w:b/>
          <w:bCs/>
          <w:sz w:val="24"/>
          <w:szCs w:val="24"/>
        </w:rPr>
        <w:t xml:space="preserve">    2.1.1. Les antonymes contradictoires </w:t>
      </w:r>
      <w:r w:rsidR="00246EDC" w:rsidRPr="00677F38">
        <w:rPr>
          <w:rFonts w:asciiTheme="majorBidi" w:hAnsiTheme="majorBidi" w:cstheme="majorBidi"/>
          <w:b/>
          <w:bCs/>
          <w:sz w:val="24"/>
          <w:szCs w:val="24"/>
        </w:rPr>
        <w:t xml:space="preserve">(absolus) </w:t>
      </w:r>
      <w:r w:rsidRPr="00677F38">
        <w:rPr>
          <w:rFonts w:asciiTheme="majorBidi" w:hAnsiTheme="majorBidi" w:cstheme="majorBidi"/>
          <w:b/>
          <w:bCs/>
          <w:sz w:val="24"/>
          <w:szCs w:val="24"/>
        </w:rPr>
        <w:t>:</w:t>
      </w:r>
    </w:p>
    <w:p w:rsidR="00B53EC9" w:rsidRPr="00677F38" w:rsidRDefault="00246EDC" w:rsidP="00246EDC">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Les antonymes contradictoires excluent toute valeurs intermédiaires, ils sont liés par une relation </w:t>
      </w:r>
      <w:r w:rsidR="00B53EC9" w:rsidRPr="00677F38">
        <w:rPr>
          <w:rFonts w:asciiTheme="majorBidi" w:hAnsiTheme="majorBidi" w:cstheme="majorBidi"/>
          <w:sz w:val="24"/>
          <w:szCs w:val="24"/>
        </w:rPr>
        <w:t>de disjonction exclusive</w:t>
      </w:r>
      <w:r w:rsidRPr="00677F38">
        <w:rPr>
          <w:rFonts w:asciiTheme="majorBidi" w:hAnsiTheme="majorBidi" w:cstheme="majorBidi"/>
          <w:sz w:val="24"/>
          <w:szCs w:val="24"/>
        </w:rPr>
        <w:t xml:space="preserve"> (binaire)</w:t>
      </w:r>
      <w:r w:rsidR="00B53EC9" w:rsidRPr="00677F38">
        <w:rPr>
          <w:rFonts w:asciiTheme="majorBidi" w:hAnsiTheme="majorBidi" w:cstheme="majorBidi"/>
          <w:sz w:val="24"/>
          <w:szCs w:val="24"/>
        </w:rPr>
        <w:t xml:space="preserve"> : la négation de l’un entraine l’affirmation de l’autre.</w:t>
      </w:r>
    </w:p>
    <w:p w:rsidR="00B53EC9" w:rsidRPr="002269CF" w:rsidRDefault="002269CF" w:rsidP="002269CF">
      <w:pPr>
        <w:spacing w:after="120"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Pr="002269CF">
        <w:rPr>
          <w:rFonts w:asciiTheme="majorBidi" w:hAnsiTheme="majorBidi" w:cstheme="majorBidi"/>
          <w:sz w:val="24"/>
          <w:szCs w:val="24"/>
        </w:rPr>
        <w:t>Exemple :</w:t>
      </w:r>
      <w:r>
        <w:rPr>
          <w:rFonts w:asciiTheme="majorBidi" w:hAnsiTheme="majorBidi" w:cstheme="majorBidi"/>
          <w:b/>
          <w:bCs/>
          <w:sz w:val="24"/>
          <w:szCs w:val="24"/>
        </w:rPr>
        <w:t xml:space="preserve"> </w:t>
      </w:r>
      <w:r w:rsidR="00B53EC9" w:rsidRPr="002269CF">
        <w:rPr>
          <w:rFonts w:asciiTheme="majorBidi" w:hAnsiTheme="majorBidi" w:cstheme="majorBidi"/>
          <w:sz w:val="24"/>
          <w:szCs w:val="24"/>
        </w:rPr>
        <w:t>Mort /Vivant</w:t>
      </w:r>
    </w:p>
    <w:p w:rsidR="00B53EC9" w:rsidRDefault="00B53EC9" w:rsidP="00B53EC9">
      <w:pPr>
        <w:spacing w:after="120" w:line="360" w:lineRule="auto"/>
        <w:jc w:val="both"/>
        <w:rPr>
          <w:rFonts w:asciiTheme="majorBidi" w:hAnsiTheme="majorBidi" w:cstheme="majorBidi"/>
          <w:b/>
          <w:bCs/>
          <w:sz w:val="24"/>
          <w:szCs w:val="24"/>
        </w:rPr>
      </w:pPr>
      <w:r w:rsidRPr="00677F38">
        <w:rPr>
          <w:rFonts w:asciiTheme="majorBidi" w:hAnsiTheme="majorBidi" w:cstheme="majorBidi"/>
          <w:sz w:val="24"/>
          <w:szCs w:val="24"/>
        </w:rPr>
        <w:t xml:space="preserve">X est mort &gt;X n’est pas vivant (tout X à condition qu’il s’agisse d’un être animé </w:t>
      </w:r>
      <w:r w:rsidR="00246EDC" w:rsidRPr="00677F38">
        <w:rPr>
          <w:rFonts w:asciiTheme="majorBidi" w:hAnsiTheme="majorBidi" w:cstheme="majorBidi"/>
          <w:sz w:val="24"/>
          <w:szCs w:val="24"/>
        </w:rPr>
        <w:t xml:space="preserve">et </w:t>
      </w:r>
      <w:r w:rsidRPr="00677F38">
        <w:rPr>
          <w:rFonts w:asciiTheme="majorBidi" w:hAnsiTheme="majorBidi" w:cstheme="majorBidi"/>
          <w:sz w:val="24"/>
          <w:szCs w:val="24"/>
        </w:rPr>
        <w:t xml:space="preserve">ne saurait être que mort ou vivant. Comme : </w:t>
      </w:r>
      <w:r w:rsidRPr="00677F38">
        <w:rPr>
          <w:rFonts w:asciiTheme="majorBidi" w:hAnsiTheme="majorBidi" w:cstheme="majorBidi"/>
          <w:b/>
          <w:bCs/>
          <w:sz w:val="24"/>
          <w:szCs w:val="24"/>
        </w:rPr>
        <w:t>Mâle / femelle ; présent/ absent ; ouvert/fermé ; marié / célibataire.</w:t>
      </w:r>
    </w:p>
    <w:p w:rsidR="002269CF" w:rsidRPr="00677F38" w:rsidRDefault="002269CF" w:rsidP="00B53EC9">
      <w:pPr>
        <w:spacing w:after="120" w:line="360" w:lineRule="auto"/>
        <w:jc w:val="both"/>
        <w:rPr>
          <w:rFonts w:asciiTheme="majorBidi" w:hAnsiTheme="majorBidi" w:cstheme="majorBidi"/>
          <w:b/>
          <w:bCs/>
          <w:sz w:val="24"/>
          <w:szCs w:val="24"/>
        </w:rPr>
      </w:pPr>
    </w:p>
    <w:p w:rsidR="00B53EC9" w:rsidRPr="00677F38" w:rsidRDefault="00B53EC9" w:rsidP="00B53EC9">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2.1.2. </w:t>
      </w:r>
      <w:r w:rsidRPr="00677F38">
        <w:rPr>
          <w:rFonts w:asciiTheme="majorBidi" w:hAnsiTheme="majorBidi" w:cstheme="majorBidi"/>
          <w:b/>
          <w:bCs/>
          <w:sz w:val="24"/>
          <w:szCs w:val="24"/>
        </w:rPr>
        <w:t xml:space="preserve">Les </w:t>
      </w:r>
      <w:r w:rsidR="00246EDC" w:rsidRPr="00677F38">
        <w:rPr>
          <w:rFonts w:asciiTheme="majorBidi" w:hAnsiTheme="majorBidi" w:cstheme="majorBidi"/>
          <w:b/>
          <w:bCs/>
          <w:sz w:val="24"/>
          <w:szCs w:val="24"/>
        </w:rPr>
        <w:t>antonymes opposés (</w:t>
      </w:r>
      <w:r w:rsidRPr="00677F38">
        <w:rPr>
          <w:rFonts w:asciiTheme="majorBidi" w:hAnsiTheme="majorBidi" w:cstheme="majorBidi"/>
          <w:b/>
          <w:bCs/>
          <w:sz w:val="24"/>
          <w:szCs w:val="24"/>
        </w:rPr>
        <w:t>gradables</w:t>
      </w:r>
      <w:r w:rsidR="00246EDC" w:rsidRPr="00677F38">
        <w:rPr>
          <w:rFonts w:asciiTheme="majorBidi" w:hAnsiTheme="majorBidi" w:cstheme="majorBidi"/>
          <w:b/>
          <w:bCs/>
          <w:sz w:val="24"/>
          <w:szCs w:val="24"/>
        </w:rPr>
        <w:t>)</w:t>
      </w:r>
      <w:r w:rsidRPr="00677F38">
        <w:rPr>
          <w:rFonts w:asciiTheme="majorBidi" w:hAnsiTheme="majorBidi" w:cstheme="majorBidi"/>
          <w:b/>
          <w:bCs/>
          <w:sz w:val="24"/>
          <w:szCs w:val="24"/>
        </w:rPr>
        <w:t xml:space="preserve"> : </w:t>
      </w:r>
    </w:p>
    <w:p w:rsidR="00B53EC9" w:rsidRPr="00677F38" w:rsidRDefault="00B53EC9" w:rsidP="00B53EC9">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Ces mots définissent les extrêmes d’une échelle de gradation implicite et autorisent l’existence de degrés intermédiaires. </w:t>
      </w:r>
      <w:r w:rsidR="00246EDC" w:rsidRPr="00677F38">
        <w:rPr>
          <w:rFonts w:asciiTheme="majorBidi" w:hAnsiTheme="majorBidi" w:cstheme="majorBidi"/>
          <w:sz w:val="24"/>
          <w:szCs w:val="24"/>
        </w:rPr>
        <w:t xml:space="preserve">La négation de l’un n’entraine pas nécessairement la négation de l’autre. </w:t>
      </w:r>
    </w:p>
    <w:p w:rsidR="00B53EC9" w:rsidRPr="00677F38" w:rsidRDefault="00B53EC9" w:rsidP="00B53EC9">
      <w:pPr>
        <w:spacing w:after="120" w:line="360" w:lineRule="auto"/>
        <w:jc w:val="both"/>
        <w:rPr>
          <w:rFonts w:asciiTheme="majorBidi" w:hAnsiTheme="majorBidi" w:cstheme="majorBidi"/>
          <w:sz w:val="24"/>
          <w:szCs w:val="24"/>
        </w:rPr>
      </w:pPr>
      <w:r w:rsidRPr="00677F38">
        <w:rPr>
          <w:rFonts w:asciiTheme="majorBidi" w:hAnsiTheme="majorBidi" w:cstheme="majorBidi"/>
          <w:b/>
          <w:bCs/>
          <w:sz w:val="24"/>
          <w:szCs w:val="24"/>
        </w:rPr>
        <w:t>Grand/petit ; large/étroit ; riche/pauvre ; beau/laid ; bon/mauvais ; chaud/froid ; amour/haine</w:t>
      </w:r>
      <w:r w:rsidRPr="00677F38">
        <w:rPr>
          <w:rFonts w:asciiTheme="majorBidi" w:hAnsiTheme="majorBidi" w:cstheme="majorBidi"/>
          <w:sz w:val="24"/>
          <w:szCs w:val="24"/>
        </w:rPr>
        <w:t xml:space="preserve"> ; ils se distinguent des complémentaires par :</w:t>
      </w:r>
    </w:p>
    <w:p w:rsidR="00B53EC9" w:rsidRPr="00677F38" w:rsidRDefault="00B53EC9" w:rsidP="00B53EC9">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        a. Ils sont sujets à la gradation : il est assez, moins, plus, très petit ou grand/chaud, etc. </w:t>
      </w:r>
    </w:p>
    <w:p w:rsidR="00A75695" w:rsidRDefault="00B53EC9" w:rsidP="00677F38">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        b. La négation de l’un n’entraîne pas forcément l’affirmation de l’autre : X n’est pas grand   n’implique pas forcément que X est petit. </w:t>
      </w:r>
    </w:p>
    <w:p w:rsidR="002269CF" w:rsidRPr="00677F38" w:rsidRDefault="002269CF" w:rsidP="00677F38">
      <w:pPr>
        <w:spacing w:after="120" w:line="360" w:lineRule="auto"/>
        <w:jc w:val="both"/>
        <w:rPr>
          <w:rFonts w:asciiTheme="majorBidi" w:hAnsiTheme="majorBidi" w:cstheme="majorBidi"/>
          <w:sz w:val="24"/>
          <w:szCs w:val="24"/>
        </w:rPr>
      </w:pPr>
    </w:p>
    <w:p w:rsidR="00B53EC9" w:rsidRPr="00677F38" w:rsidRDefault="005E6411" w:rsidP="00B53EC9">
      <w:pPr>
        <w:spacing w:after="120" w:line="360" w:lineRule="auto"/>
        <w:jc w:val="both"/>
        <w:rPr>
          <w:rFonts w:asciiTheme="majorBidi" w:hAnsiTheme="majorBidi" w:cstheme="majorBidi"/>
          <w:b/>
          <w:bCs/>
          <w:sz w:val="24"/>
          <w:szCs w:val="24"/>
        </w:rPr>
      </w:pPr>
      <w:r w:rsidRPr="00677F38">
        <w:rPr>
          <w:rFonts w:asciiTheme="majorBidi" w:hAnsiTheme="majorBidi" w:cstheme="majorBidi"/>
          <w:b/>
          <w:bCs/>
          <w:sz w:val="24"/>
          <w:szCs w:val="24"/>
        </w:rPr>
        <w:t xml:space="preserve">3. L’homonymie : </w:t>
      </w:r>
    </w:p>
    <w:p w:rsidR="005E6411" w:rsidRPr="00677F38" w:rsidRDefault="005E6411" w:rsidP="005E6411">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Les homonymes sont les mots qui se prononcent de la même manière et qui peuvent être écrit (ou non) de la même manière mais dont le sens est différent. L’homonymie se rapporte au </w:t>
      </w:r>
      <w:r w:rsidRPr="00677F38">
        <w:rPr>
          <w:rFonts w:asciiTheme="majorBidi" w:hAnsiTheme="majorBidi" w:cstheme="majorBidi"/>
          <w:sz w:val="24"/>
          <w:szCs w:val="24"/>
        </w:rPr>
        <w:lastRenderedPageBreak/>
        <w:t xml:space="preserve">signifiant, c’est-à-dire à la similitude (de signifiants), au niveau de la manifestation orale ou écrite, entre plusieurs éléments linguistiques (mots). </w:t>
      </w:r>
    </w:p>
    <w:p w:rsidR="00927D17" w:rsidRDefault="00927D17" w:rsidP="00927D17">
      <w:pPr>
        <w:spacing w:after="120" w:line="360" w:lineRule="auto"/>
        <w:jc w:val="both"/>
        <w:rPr>
          <w:rFonts w:asciiTheme="majorBidi" w:hAnsiTheme="majorBidi" w:cstheme="majorBidi"/>
        </w:rPr>
      </w:pPr>
      <w:r>
        <w:rPr>
          <w:rFonts w:asciiTheme="majorBidi" w:hAnsiTheme="majorBidi" w:cstheme="majorBidi"/>
          <w:b/>
          <w:bCs/>
        </w:rPr>
        <w:t xml:space="preserve">     </w:t>
      </w:r>
      <w:r w:rsidRPr="00927D17">
        <w:rPr>
          <w:rFonts w:asciiTheme="majorBidi" w:hAnsiTheme="majorBidi" w:cstheme="majorBidi"/>
          <w:b/>
          <w:bCs/>
        </w:rPr>
        <w:t>a)</w:t>
      </w:r>
      <w:r w:rsidRPr="00927D17">
        <w:rPr>
          <w:rFonts w:asciiTheme="majorBidi" w:hAnsiTheme="majorBidi" w:cstheme="majorBidi"/>
        </w:rPr>
        <w:t xml:space="preserve"> </w:t>
      </w:r>
      <w:r w:rsidRPr="00927D17">
        <w:rPr>
          <w:rFonts w:asciiTheme="majorBidi" w:hAnsiTheme="majorBidi" w:cstheme="majorBidi"/>
          <w:u w:val="single"/>
        </w:rPr>
        <w:t>Bien qu’ils soient écrits ou prononcés de la même façon, les homonymes se différencient par le sens.</w:t>
      </w:r>
      <w:r>
        <w:rPr>
          <w:rFonts w:asciiTheme="majorBidi" w:hAnsiTheme="majorBidi" w:cstheme="majorBidi"/>
        </w:rPr>
        <w:t xml:space="preserve"> </w:t>
      </w:r>
    </w:p>
    <w:p w:rsidR="005E6411"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 xml:space="preserve">Ex : </w:t>
      </w:r>
      <w:r>
        <w:rPr>
          <w:rFonts w:asciiTheme="majorBidi" w:hAnsiTheme="majorBidi" w:cstheme="majorBidi"/>
        </w:rPr>
        <w:t xml:space="preserve">- </w:t>
      </w:r>
      <w:r w:rsidRPr="00927D17">
        <w:rPr>
          <w:rFonts w:asciiTheme="majorBidi" w:hAnsiTheme="majorBidi" w:cstheme="majorBidi"/>
        </w:rPr>
        <w:t>moule (mollusque)/ moule (récipient pour faire les gâteaux)</w:t>
      </w:r>
    </w:p>
    <w:p w:rsidR="00927D17" w:rsidRDefault="00927D17" w:rsidP="009C5353">
      <w:pPr>
        <w:spacing w:after="0" w:line="240" w:lineRule="auto"/>
        <w:jc w:val="both"/>
        <w:rPr>
          <w:rFonts w:asciiTheme="majorBidi" w:hAnsiTheme="majorBidi" w:cstheme="majorBidi"/>
        </w:rPr>
      </w:pPr>
      <w:r w:rsidRPr="00927D17">
        <w:rPr>
          <w:rFonts w:asciiTheme="majorBidi" w:hAnsiTheme="majorBidi" w:cstheme="majorBidi"/>
        </w:rPr>
        <w:t xml:space="preserve"> </w:t>
      </w:r>
      <w:r>
        <w:rPr>
          <w:rFonts w:asciiTheme="majorBidi" w:hAnsiTheme="majorBidi" w:cstheme="majorBidi"/>
        </w:rPr>
        <w:t xml:space="preserve">           - </w:t>
      </w:r>
      <w:r w:rsidRPr="00927D17">
        <w:rPr>
          <w:rFonts w:asciiTheme="majorBidi" w:hAnsiTheme="majorBidi" w:cstheme="majorBidi"/>
        </w:rPr>
        <w:t>Mer (étendu d’eau)/ mère (génératrice)/ maire (président d’APC)</w:t>
      </w:r>
    </w:p>
    <w:p w:rsidR="009C5353" w:rsidRDefault="009C5353" w:rsidP="009C5353">
      <w:pPr>
        <w:spacing w:after="0" w:line="240" w:lineRule="auto"/>
        <w:jc w:val="both"/>
        <w:rPr>
          <w:rFonts w:asciiTheme="majorBidi" w:hAnsiTheme="majorBidi" w:cstheme="majorBidi"/>
        </w:rPr>
      </w:pPr>
    </w:p>
    <w:p w:rsidR="00927D17" w:rsidRPr="00927D17" w:rsidRDefault="00927D17" w:rsidP="00927D17">
      <w:pPr>
        <w:spacing w:after="120" w:line="36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b/>
          <w:bCs/>
        </w:rPr>
        <w:t>b)</w:t>
      </w:r>
      <w:r w:rsidRPr="00927D17">
        <w:rPr>
          <w:rFonts w:asciiTheme="majorBidi" w:hAnsiTheme="majorBidi" w:cstheme="majorBidi"/>
        </w:rPr>
        <w:t xml:space="preserve"> </w:t>
      </w:r>
      <w:r w:rsidRPr="00927D17">
        <w:rPr>
          <w:rFonts w:asciiTheme="majorBidi" w:hAnsiTheme="majorBidi" w:cstheme="majorBidi"/>
          <w:u w:val="single"/>
        </w:rPr>
        <w:t>Ils peuvent appartenir ou non la même catégorie grammaticale</w:t>
      </w:r>
    </w:p>
    <w:p w:rsid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Ex : - </w:t>
      </w:r>
      <w:r w:rsidRPr="00927D17">
        <w:rPr>
          <w:rFonts w:asciiTheme="majorBidi" w:hAnsiTheme="majorBidi" w:cstheme="majorBidi"/>
        </w:rPr>
        <w:t>Grèce (N</w:t>
      </w:r>
      <w:r>
        <w:rPr>
          <w:rFonts w:asciiTheme="majorBidi" w:hAnsiTheme="majorBidi" w:cstheme="majorBidi"/>
        </w:rPr>
        <w:t xml:space="preserve">om </w:t>
      </w:r>
      <w:r w:rsidRPr="00927D17">
        <w:rPr>
          <w:rFonts w:asciiTheme="majorBidi" w:hAnsiTheme="majorBidi" w:cstheme="majorBidi"/>
        </w:rPr>
        <w:t>pr</w:t>
      </w:r>
      <w:r>
        <w:rPr>
          <w:rFonts w:asciiTheme="majorBidi" w:hAnsiTheme="majorBidi" w:cstheme="majorBidi"/>
        </w:rPr>
        <w:t>opre</w:t>
      </w:r>
      <w:r w:rsidRPr="00927D17">
        <w:rPr>
          <w:rFonts w:asciiTheme="majorBidi" w:hAnsiTheme="majorBidi" w:cstheme="majorBidi"/>
        </w:rPr>
        <w:t>)/graisse (n</w:t>
      </w:r>
      <w:r>
        <w:rPr>
          <w:rFonts w:asciiTheme="majorBidi" w:hAnsiTheme="majorBidi" w:cstheme="majorBidi"/>
        </w:rPr>
        <w:t xml:space="preserve">om </w:t>
      </w:r>
      <w:r w:rsidRPr="00927D17">
        <w:rPr>
          <w:rFonts w:asciiTheme="majorBidi" w:hAnsiTheme="majorBidi" w:cstheme="majorBidi"/>
        </w:rPr>
        <w:t>c</w:t>
      </w:r>
      <w:r>
        <w:rPr>
          <w:rFonts w:asciiTheme="majorBidi" w:hAnsiTheme="majorBidi" w:cstheme="majorBidi"/>
        </w:rPr>
        <w:t>ommun</w:t>
      </w:r>
      <w:r w:rsidRPr="00927D17">
        <w:rPr>
          <w:rFonts w:asciiTheme="majorBidi" w:hAnsiTheme="majorBidi" w:cstheme="majorBidi"/>
        </w:rPr>
        <w:t>)</w:t>
      </w:r>
    </w:p>
    <w:p w:rsidR="00927D17" w:rsidRDefault="00927D17" w:rsidP="009C5353">
      <w:pPr>
        <w:spacing w:after="0" w:line="240" w:lineRule="auto"/>
        <w:jc w:val="both"/>
        <w:rPr>
          <w:rFonts w:asciiTheme="majorBidi" w:hAnsiTheme="majorBidi" w:cstheme="majorBidi"/>
        </w:rPr>
      </w:pPr>
      <w:r w:rsidRPr="00927D17">
        <w:rPr>
          <w:rFonts w:asciiTheme="majorBidi" w:hAnsiTheme="majorBidi" w:cstheme="majorBidi"/>
        </w:rPr>
        <w:t xml:space="preserve"> </w:t>
      </w:r>
      <w:r>
        <w:rPr>
          <w:rFonts w:asciiTheme="majorBidi" w:hAnsiTheme="majorBidi" w:cstheme="majorBidi"/>
        </w:rPr>
        <w:t xml:space="preserve">            - </w:t>
      </w:r>
      <w:r w:rsidRPr="00927D17">
        <w:rPr>
          <w:rFonts w:asciiTheme="majorBidi" w:hAnsiTheme="majorBidi" w:cstheme="majorBidi"/>
        </w:rPr>
        <w:t>Verre (n</w:t>
      </w:r>
      <w:r>
        <w:rPr>
          <w:rFonts w:asciiTheme="majorBidi" w:hAnsiTheme="majorBidi" w:cstheme="majorBidi"/>
        </w:rPr>
        <w:t>om</w:t>
      </w:r>
      <w:r w:rsidRPr="00927D17">
        <w:rPr>
          <w:rFonts w:asciiTheme="majorBidi" w:hAnsiTheme="majorBidi" w:cstheme="majorBidi"/>
        </w:rPr>
        <w:t>)/ vers (prép</w:t>
      </w:r>
      <w:r>
        <w:rPr>
          <w:rFonts w:asciiTheme="majorBidi" w:hAnsiTheme="majorBidi" w:cstheme="majorBidi"/>
        </w:rPr>
        <w:t>osition</w:t>
      </w:r>
      <w:r w:rsidRPr="00927D17">
        <w:rPr>
          <w:rFonts w:asciiTheme="majorBidi" w:hAnsiTheme="majorBidi" w:cstheme="majorBidi"/>
        </w:rPr>
        <w:t>)/ vert (adj</w:t>
      </w:r>
      <w:r>
        <w:rPr>
          <w:rFonts w:asciiTheme="majorBidi" w:hAnsiTheme="majorBidi" w:cstheme="majorBidi"/>
        </w:rPr>
        <w:t>ectif</w:t>
      </w:r>
      <w:r w:rsidRPr="00927D17">
        <w:rPr>
          <w:rFonts w:asciiTheme="majorBidi" w:hAnsiTheme="majorBidi" w:cstheme="majorBidi"/>
        </w:rPr>
        <w:t xml:space="preserve"> qual</w:t>
      </w:r>
      <w:r>
        <w:rPr>
          <w:rFonts w:asciiTheme="majorBidi" w:hAnsiTheme="majorBidi" w:cstheme="majorBidi"/>
        </w:rPr>
        <w:t>ificatif</w:t>
      </w:r>
      <w:r w:rsidRPr="00927D17">
        <w:rPr>
          <w:rFonts w:asciiTheme="majorBidi" w:hAnsiTheme="majorBidi" w:cstheme="majorBidi"/>
        </w:rPr>
        <w:t>)</w:t>
      </w:r>
    </w:p>
    <w:p w:rsidR="009C5353" w:rsidRDefault="009C5353" w:rsidP="009C5353">
      <w:pPr>
        <w:spacing w:after="0" w:line="240" w:lineRule="auto"/>
        <w:jc w:val="both"/>
        <w:rPr>
          <w:rFonts w:asciiTheme="majorBidi" w:hAnsiTheme="majorBidi" w:cstheme="majorBidi"/>
        </w:rPr>
      </w:pPr>
    </w:p>
    <w:p w:rsidR="00927D17" w:rsidRPr="00927D17" w:rsidRDefault="00927D17" w:rsidP="00927D17">
      <w:pPr>
        <w:spacing w:after="120" w:line="36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b/>
          <w:bCs/>
        </w:rPr>
        <w:t>c)</w:t>
      </w:r>
      <w:r w:rsidRPr="00927D17">
        <w:rPr>
          <w:rFonts w:asciiTheme="majorBidi" w:hAnsiTheme="majorBidi" w:cstheme="majorBidi"/>
        </w:rPr>
        <w:t xml:space="preserve"> </w:t>
      </w:r>
      <w:r w:rsidRPr="00927D17">
        <w:rPr>
          <w:rFonts w:asciiTheme="majorBidi" w:hAnsiTheme="majorBidi" w:cstheme="majorBidi"/>
          <w:u w:val="single"/>
        </w:rPr>
        <w:t>Selon les cas, on peut distinguer les homonymes par :</w:t>
      </w:r>
    </w:p>
    <w:p w:rsidR="00927D17" w:rsidRPr="00927D17" w:rsidRDefault="00927D17" w:rsidP="00927D17">
      <w:pPr>
        <w:spacing w:after="120" w:line="360" w:lineRule="auto"/>
        <w:jc w:val="both"/>
        <w:rPr>
          <w:rFonts w:asciiTheme="majorBidi" w:hAnsiTheme="majorBidi" w:cstheme="majorBidi"/>
        </w:rPr>
      </w:pPr>
      <w:r>
        <w:rPr>
          <w:rFonts w:asciiTheme="majorBidi" w:hAnsiTheme="majorBidi" w:cstheme="majorBidi"/>
        </w:rPr>
        <w:t xml:space="preserve">        - </w:t>
      </w:r>
      <w:r w:rsidR="00D20247" w:rsidRPr="00D20247">
        <w:rPr>
          <w:rFonts w:asciiTheme="majorBidi" w:hAnsiTheme="majorBidi" w:cstheme="majorBidi"/>
          <w:u w:val="single"/>
        </w:rPr>
        <w:t>Critères morphologiques</w:t>
      </w:r>
      <w:r w:rsidR="00D20247">
        <w:rPr>
          <w:rFonts w:asciiTheme="majorBidi" w:hAnsiTheme="majorBidi" w:cstheme="majorBidi"/>
        </w:rPr>
        <w:t xml:space="preserve"> comme </w:t>
      </w:r>
      <w:r w:rsidRPr="00927D17">
        <w:rPr>
          <w:rFonts w:asciiTheme="majorBidi" w:hAnsiTheme="majorBidi" w:cstheme="majorBidi"/>
          <w:u w:val="single"/>
        </w:rPr>
        <w:t>Le genre</w:t>
      </w:r>
      <w:r>
        <w:rPr>
          <w:rFonts w:asciiTheme="majorBidi" w:hAnsiTheme="majorBidi" w:cstheme="majorBidi"/>
        </w:rPr>
        <w:t xml:space="preserve"> (masculin/féminin) : </w:t>
      </w:r>
    </w:p>
    <w:p w:rsidR="00927D17" w:rsidRP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Le tour (mouvement circulaire)/ la tour (construction élevée)</w:t>
      </w:r>
    </w:p>
    <w:p w:rsid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Un livre (ouvrage)/ la livre (monnaie).</w:t>
      </w:r>
    </w:p>
    <w:p w:rsidR="009C5353" w:rsidRPr="00927D17" w:rsidRDefault="009C5353" w:rsidP="009C5353">
      <w:pPr>
        <w:spacing w:after="0" w:line="240" w:lineRule="auto"/>
        <w:jc w:val="both"/>
        <w:rPr>
          <w:rFonts w:asciiTheme="majorBidi" w:hAnsiTheme="majorBidi" w:cstheme="majorBidi"/>
        </w:rPr>
      </w:pPr>
    </w:p>
    <w:p w:rsidR="00927D17" w:rsidRPr="00927D17" w:rsidRDefault="00D20247" w:rsidP="00927D17">
      <w:pPr>
        <w:pStyle w:val="Paragraphedeliste"/>
        <w:numPr>
          <w:ilvl w:val="0"/>
          <w:numId w:val="1"/>
        </w:numPr>
        <w:spacing w:after="120" w:line="360" w:lineRule="auto"/>
        <w:jc w:val="both"/>
        <w:rPr>
          <w:rFonts w:asciiTheme="majorBidi" w:hAnsiTheme="majorBidi" w:cstheme="majorBidi"/>
          <w:u w:val="single"/>
        </w:rPr>
      </w:pPr>
      <w:r w:rsidRPr="00D20247">
        <w:rPr>
          <w:rFonts w:asciiTheme="majorBidi" w:hAnsiTheme="majorBidi" w:cstheme="majorBidi"/>
          <w:u w:val="single"/>
        </w:rPr>
        <w:t>Critères</w:t>
      </w:r>
      <w:r w:rsidRPr="00927D17">
        <w:rPr>
          <w:rFonts w:asciiTheme="majorBidi" w:hAnsiTheme="majorBidi" w:cstheme="majorBidi"/>
          <w:u w:val="single"/>
        </w:rPr>
        <w:t xml:space="preserve"> </w:t>
      </w:r>
      <w:r>
        <w:rPr>
          <w:rFonts w:asciiTheme="majorBidi" w:hAnsiTheme="majorBidi" w:cstheme="majorBidi"/>
          <w:u w:val="single"/>
        </w:rPr>
        <w:t xml:space="preserve">étymologiques </w:t>
      </w:r>
      <w:r w:rsidR="00927D17" w:rsidRPr="00927D17">
        <w:rPr>
          <w:rFonts w:asciiTheme="majorBidi" w:hAnsiTheme="majorBidi" w:cstheme="majorBidi"/>
          <w:u w:val="single"/>
        </w:rPr>
        <w:t xml:space="preserve">: </w:t>
      </w:r>
    </w:p>
    <w:p w:rsidR="00927D17" w:rsidRP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 xml:space="preserve">Nous allons </w:t>
      </w:r>
      <w:r w:rsidRPr="00927D17">
        <w:rPr>
          <w:rFonts w:asciiTheme="majorBidi" w:hAnsiTheme="majorBidi" w:cstheme="majorBidi"/>
          <w:u w:val="single"/>
        </w:rPr>
        <w:t>louer</w:t>
      </w:r>
      <w:r w:rsidRPr="00927D17">
        <w:rPr>
          <w:rFonts w:asciiTheme="majorBidi" w:hAnsiTheme="majorBidi" w:cstheme="majorBidi"/>
        </w:rPr>
        <w:t xml:space="preserve"> un appartement (latin : locare)/</w:t>
      </w:r>
    </w:p>
    <w:p w:rsid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 xml:space="preserve">On </w:t>
      </w:r>
      <w:r>
        <w:rPr>
          <w:rFonts w:asciiTheme="majorBidi" w:hAnsiTheme="majorBidi" w:cstheme="majorBidi"/>
        </w:rPr>
        <w:t xml:space="preserve">ne </w:t>
      </w:r>
      <w:r w:rsidRPr="00927D17">
        <w:rPr>
          <w:rFonts w:asciiTheme="majorBidi" w:hAnsiTheme="majorBidi" w:cstheme="majorBidi"/>
        </w:rPr>
        <w:t xml:space="preserve">peut que </w:t>
      </w:r>
      <w:r w:rsidRPr="00927D17">
        <w:rPr>
          <w:rFonts w:asciiTheme="majorBidi" w:hAnsiTheme="majorBidi" w:cstheme="majorBidi"/>
          <w:u w:val="single"/>
        </w:rPr>
        <w:t>louer</w:t>
      </w:r>
      <w:r w:rsidRPr="00927D17">
        <w:rPr>
          <w:rFonts w:asciiTheme="majorBidi" w:hAnsiTheme="majorBidi" w:cstheme="majorBidi"/>
        </w:rPr>
        <w:t xml:space="preserve"> sa conduite (louanges) (latin : lodare)</w:t>
      </w:r>
    </w:p>
    <w:p w:rsidR="009C5353" w:rsidRPr="00927D17" w:rsidRDefault="009C5353" w:rsidP="009C5353">
      <w:pPr>
        <w:spacing w:after="0" w:line="240" w:lineRule="auto"/>
        <w:jc w:val="both"/>
        <w:rPr>
          <w:rFonts w:asciiTheme="majorBidi" w:hAnsiTheme="majorBidi" w:cstheme="majorBidi"/>
        </w:rPr>
      </w:pPr>
    </w:p>
    <w:p w:rsidR="00927D17" w:rsidRPr="00927D17" w:rsidRDefault="00D20247" w:rsidP="00927D17">
      <w:pPr>
        <w:pStyle w:val="Paragraphedeliste"/>
        <w:numPr>
          <w:ilvl w:val="0"/>
          <w:numId w:val="1"/>
        </w:numPr>
        <w:spacing w:after="120" w:line="360" w:lineRule="auto"/>
        <w:jc w:val="both"/>
        <w:rPr>
          <w:rFonts w:asciiTheme="majorBidi" w:hAnsiTheme="majorBidi" w:cstheme="majorBidi"/>
          <w:u w:val="single"/>
        </w:rPr>
      </w:pPr>
      <w:r w:rsidRPr="00D20247">
        <w:rPr>
          <w:rFonts w:asciiTheme="majorBidi" w:hAnsiTheme="majorBidi" w:cstheme="majorBidi"/>
          <w:u w:val="single"/>
        </w:rPr>
        <w:t>Critères</w:t>
      </w:r>
      <w:r>
        <w:rPr>
          <w:rFonts w:asciiTheme="majorBidi" w:hAnsiTheme="majorBidi" w:cstheme="majorBidi"/>
          <w:u w:val="single"/>
        </w:rPr>
        <w:t xml:space="preserve"> syntaxiques (</w:t>
      </w:r>
      <w:r w:rsidR="00927D17" w:rsidRPr="00927D17">
        <w:rPr>
          <w:rFonts w:asciiTheme="majorBidi" w:hAnsiTheme="majorBidi" w:cstheme="majorBidi"/>
          <w:u w:val="single"/>
        </w:rPr>
        <w:t xml:space="preserve"> construction syntaxique</w:t>
      </w:r>
      <w:r>
        <w:rPr>
          <w:rFonts w:asciiTheme="majorBidi" w:hAnsiTheme="majorBidi" w:cstheme="majorBidi"/>
          <w:u w:val="single"/>
        </w:rPr>
        <w:t>)</w:t>
      </w:r>
    </w:p>
    <w:p w:rsidR="00927D17" w:rsidRP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 xml:space="preserve">Il s’est tourné </w:t>
      </w:r>
      <w:r w:rsidRPr="00927D17">
        <w:rPr>
          <w:rFonts w:asciiTheme="majorBidi" w:hAnsiTheme="majorBidi" w:cstheme="majorBidi"/>
          <w:u w:val="single"/>
        </w:rPr>
        <w:t>vers</w:t>
      </w:r>
      <w:r w:rsidRPr="00927D17">
        <w:rPr>
          <w:rFonts w:asciiTheme="majorBidi" w:hAnsiTheme="majorBidi" w:cstheme="majorBidi"/>
        </w:rPr>
        <w:t xml:space="preserve"> ses amis (préposition suivi d’un nom ou d’un GN)</w:t>
      </w:r>
    </w:p>
    <w:p w:rsid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 xml:space="preserve">Les académiciens portent l’habit </w:t>
      </w:r>
      <w:r w:rsidRPr="00927D17">
        <w:rPr>
          <w:rFonts w:asciiTheme="majorBidi" w:hAnsiTheme="majorBidi" w:cstheme="majorBidi"/>
          <w:u w:val="single"/>
        </w:rPr>
        <w:t>vert</w:t>
      </w:r>
      <w:r w:rsidRPr="00927D17">
        <w:rPr>
          <w:rFonts w:asciiTheme="majorBidi" w:hAnsiTheme="majorBidi" w:cstheme="majorBidi"/>
        </w:rPr>
        <w:t xml:space="preserve"> (adjectif qui suit un nom)</w:t>
      </w:r>
    </w:p>
    <w:p w:rsidR="009C5353" w:rsidRDefault="009C5353" w:rsidP="009C5353">
      <w:pPr>
        <w:spacing w:after="0" w:line="240" w:lineRule="auto"/>
        <w:jc w:val="both"/>
        <w:rPr>
          <w:rFonts w:asciiTheme="majorBidi" w:hAnsiTheme="majorBidi" w:cstheme="majorBidi"/>
        </w:rPr>
      </w:pPr>
    </w:p>
    <w:p w:rsidR="00927D17" w:rsidRPr="00927D17" w:rsidRDefault="00D20247" w:rsidP="00927D17">
      <w:pPr>
        <w:pStyle w:val="Paragraphedeliste"/>
        <w:numPr>
          <w:ilvl w:val="0"/>
          <w:numId w:val="1"/>
        </w:numPr>
        <w:spacing w:after="120" w:line="360" w:lineRule="auto"/>
        <w:jc w:val="both"/>
        <w:rPr>
          <w:rFonts w:asciiTheme="majorBidi" w:hAnsiTheme="majorBidi" w:cstheme="majorBidi"/>
          <w:u w:val="single"/>
        </w:rPr>
      </w:pPr>
      <w:r w:rsidRPr="00D20247">
        <w:rPr>
          <w:rFonts w:asciiTheme="majorBidi" w:hAnsiTheme="majorBidi" w:cstheme="majorBidi"/>
          <w:u w:val="single"/>
        </w:rPr>
        <w:t>Critères</w:t>
      </w:r>
      <w:r w:rsidRPr="00927D17">
        <w:rPr>
          <w:rFonts w:asciiTheme="majorBidi" w:hAnsiTheme="majorBidi" w:cstheme="majorBidi"/>
          <w:u w:val="single"/>
        </w:rPr>
        <w:t xml:space="preserve"> </w:t>
      </w:r>
      <w:r>
        <w:rPr>
          <w:rFonts w:asciiTheme="majorBidi" w:hAnsiTheme="majorBidi" w:cstheme="majorBidi"/>
          <w:u w:val="single"/>
        </w:rPr>
        <w:t>sémantiques (</w:t>
      </w:r>
      <w:r w:rsidRPr="00927D17">
        <w:rPr>
          <w:rFonts w:asciiTheme="majorBidi" w:hAnsiTheme="majorBidi" w:cstheme="majorBidi"/>
          <w:u w:val="single"/>
        </w:rPr>
        <w:t>l</w:t>
      </w:r>
      <w:r w:rsidR="00927D17" w:rsidRPr="00927D17">
        <w:rPr>
          <w:rFonts w:asciiTheme="majorBidi" w:hAnsiTheme="majorBidi" w:cstheme="majorBidi"/>
          <w:u w:val="single"/>
        </w:rPr>
        <w:t>e contexte</w:t>
      </w:r>
      <w:r>
        <w:rPr>
          <w:rFonts w:asciiTheme="majorBidi" w:hAnsiTheme="majorBidi" w:cstheme="majorBidi"/>
          <w:u w:val="single"/>
        </w:rPr>
        <w:t>) </w:t>
      </w:r>
    </w:p>
    <w:p w:rsidR="00927D17" w:rsidRP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Elle est mère de cinq enfants.</w:t>
      </w:r>
    </w:p>
    <w:p w:rsid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Elle est maire de sa ville.</w:t>
      </w:r>
    </w:p>
    <w:p w:rsidR="009C5353" w:rsidRDefault="009C5353" w:rsidP="009C5353">
      <w:pPr>
        <w:spacing w:after="0" w:line="240" w:lineRule="auto"/>
        <w:jc w:val="both"/>
        <w:rPr>
          <w:rFonts w:asciiTheme="majorBidi" w:hAnsiTheme="majorBidi" w:cstheme="majorBidi"/>
        </w:rPr>
      </w:pPr>
    </w:p>
    <w:p w:rsidR="00927D17" w:rsidRPr="00677F38" w:rsidRDefault="00927D17" w:rsidP="00927D17">
      <w:pPr>
        <w:rPr>
          <w:rFonts w:asciiTheme="majorBidi" w:hAnsiTheme="majorBidi" w:cstheme="majorBidi"/>
          <w:b/>
          <w:bCs/>
          <w:sz w:val="24"/>
          <w:szCs w:val="24"/>
        </w:rPr>
      </w:pPr>
      <w:r w:rsidRPr="00677F38">
        <w:rPr>
          <w:rFonts w:asciiTheme="majorBidi" w:hAnsiTheme="majorBidi" w:cstheme="majorBidi"/>
          <w:b/>
          <w:bCs/>
          <w:sz w:val="24"/>
          <w:szCs w:val="24"/>
        </w:rPr>
        <w:t xml:space="preserve">3.1. Les types d’homonymes : </w:t>
      </w:r>
    </w:p>
    <w:p w:rsidR="00927D17" w:rsidRPr="00677F38" w:rsidRDefault="00927D17" w:rsidP="009C5353">
      <w:pPr>
        <w:rPr>
          <w:rFonts w:asciiTheme="majorBidi" w:hAnsiTheme="majorBidi" w:cstheme="majorBidi"/>
          <w:b/>
          <w:bCs/>
          <w:sz w:val="24"/>
          <w:szCs w:val="24"/>
        </w:rPr>
      </w:pPr>
      <w:r w:rsidRPr="00677F38">
        <w:rPr>
          <w:rFonts w:asciiTheme="majorBidi" w:hAnsiTheme="majorBidi" w:cstheme="majorBidi"/>
          <w:b/>
          <w:bCs/>
          <w:sz w:val="24"/>
          <w:szCs w:val="24"/>
        </w:rPr>
        <w:t xml:space="preserve">       3.1.1. </w:t>
      </w:r>
      <w:r w:rsidR="009C5353" w:rsidRPr="00677F38">
        <w:rPr>
          <w:rFonts w:asciiTheme="majorBidi" w:hAnsiTheme="majorBidi" w:cstheme="majorBidi"/>
          <w:b/>
          <w:bCs/>
          <w:sz w:val="24"/>
          <w:szCs w:val="24"/>
        </w:rPr>
        <w:t>Les</w:t>
      </w:r>
      <w:r w:rsidRPr="00677F38">
        <w:rPr>
          <w:rFonts w:asciiTheme="majorBidi" w:hAnsiTheme="majorBidi" w:cstheme="majorBidi"/>
          <w:b/>
          <w:bCs/>
          <w:sz w:val="24"/>
          <w:szCs w:val="24"/>
        </w:rPr>
        <w:t xml:space="preserve"> </w:t>
      </w:r>
      <w:r w:rsidR="009C5353" w:rsidRPr="00677F38">
        <w:rPr>
          <w:rFonts w:asciiTheme="majorBidi" w:hAnsiTheme="majorBidi" w:cstheme="majorBidi"/>
          <w:b/>
          <w:bCs/>
          <w:sz w:val="24"/>
          <w:szCs w:val="24"/>
        </w:rPr>
        <w:t>h</w:t>
      </w:r>
      <w:r w:rsidRPr="00677F38">
        <w:rPr>
          <w:rFonts w:asciiTheme="majorBidi" w:hAnsiTheme="majorBidi" w:cstheme="majorBidi"/>
          <w:b/>
          <w:bCs/>
          <w:sz w:val="24"/>
          <w:szCs w:val="24"/>
        </w:rPr>
        <w:t xml:space="preserve">omophones homographes: </w:t>
      </w:r>
      <w:r w:rsidRPr="00677F38">
        <w:rPr>
          <w:rFonts w:asciiTheme="majorBidi" w:hAnsiTheme="majorBidi" w:cstheme="majorBidi"/>
          <w:sz w:val="24"/>
          <w:szCs w:val="24"/>
        </w:rPr>
        <w:t>ils s’écrivent et se prononcent de la</w:t>
      </w:r>
      <w:r w:rsidR="009C5353" w:rsidRPr="00677F38">
        <w:rPr>
          <w:rFonts w:asciiTheme="majorBidi" w:hAnsiTheme="majorBidi" w:cstheme="majorBidi"/>
          <w:sz w:val="24"/>
          <w:szCs w:val="24"/>
        </w:rPr>
        <w:t xml:space="preserve"> </w:t>
      </w:r>
      <w:r w:rsidRPr="00677F38">
        <w:rPr>
          <w:rFonts w:asciiTheme="majorBidi" w:hAnsiTheme="majorBidi" w:cstheme="majorBidi"/>
          <w:sz w:val="24"/>
          <w:szCs w:val="24"/>
        </w:rPr>
        <w:t>même manière.</w:t>
      </w:r>
    </w:p>
    <w:p w:rsidR="00927D17" w:rsidRPr="00677F38" w:rsidRDefault="009C5353" w:rsidP="009C5353">
      <w:pPr>
        <w:spacing w:after="0" w:line="240" w:lineRule="auto"/>
        <w:rPr>
          <w:rFonts w:asciiTheme="majorBidi" w:hAnsiTheme="majorBidi" w:cstheme="majorBidi"/>
          <w:sz w:val="24"/>
          <w:szCs w:val="24"/>
        </w:rPr>
      </w:pPr>
      <w:r w:rsidRPr="00677F38">
        <w:rPr>
          <w:rFonts w:asciiTheme="majorBidi" w:hAnsiTheme="majorBidi" w:cstheme="majorBidi"/>
          <w:b/>
          <w:bCs/>
          <w:sz w:val="24"/>
          <w:szCs w:val="24"/>
        </w:rPr>
        <w:t xml:space="preserve">            </w:t>
      </w:r>
      <w:r w:rsidRPr="00677F38">
        <w:rPr>
          <w:rFonts w:asciiTheme="majorBidi" w:hAnsiTheme="majorBidi" w:cstheme="majorBidi"/>
          <w:sz w:val="24"/>
          <w:szCs w:val="24"/>
        </w:rPr>
        <w:t>Etre</w:t>
      </w:r>
      <w:r w:rsidR="00927D17" w:rsidRPr="00677F38">
        <w:rPr>
          <w:rFonts w:asciiTheme="majorBidi" w:hAnsiTheme="majorBidi" w:cstheme="majorBidi"/>
          <w:sz w:val="24"/>
          <w:szCs w:val="24"/>
        </w:rPr>
        <w:t xml:space="preserve"> (v</w:t>
      </w:r>
      <w:r w:rsidRPr="00677F38">
        <w:rPr>
          <w:rFonts w:asciiTheme="majorBidi" w:hAnsiTheme="majorBidi" w:cstheme="majorBidi"/>
          <w:sz w:val="24"/>
          <w:szCs w:val="24"/>
        </w:rPr>
        <w:t>erbe</w:t>
      </w:r>
      <w:r w:rsidR="00927D17" w:rsidRPr="00677F38">
        <w:rPr>
          <w:rFonts w:asciiTheme="majorBidi" w:hAnsiTheme="majorBidi" w:cstheme="majorBidi"/>
          <w:sz w:val="24"/>
          <w:szCs w:val="24"/>
        </w:rPr>
        <w:t>)/ être (n</w:t>
      </w:r>
      <w:r w:rsidRPr="00677F38">
        <w:rPr>
          <w:rFonts w:asciiTheme="majorBidi" w:hAnsiTheme="majorBidi" w:cstheme="majorBidi"/>
          <w:sz w:val="24"/>
          <w:szCs w:val="24"/>
        </w:rPr>
        <w:t>om</w:t>
      </w:r>
      <w:r w:rsidR="00927D17" w:rsidRPr="00677F38">
        <w:rPr>
          <w:rFonts w:asciiTheme="majorBidi" w:hAnsiTheme="majorBidi" w:cstheme="majorBidi"/>
          <w:sz w:val="24"/>
          <w:szCs w:val="24"/>
        </w:rPr>
        <w:t>)</w:t>
      </w:r>
    </w:p>
    <w:p w:rsidR="00927D17" w:rsidRPr="00677F38" w:rsidRDefault="009C5353" w:rsidP="009C5353">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w:t>
      </w:r>
      <w:r w:rsidR="00927D17" w:rsidRPr="00677F38">
        <w:rPr>
          <w:rFonts w:asciiTheme="majorBidi" w:hAnsiTheme="majorBidi" w:cstheme="majorBidi"/>
          <w:sz w:val="24"/>
          <w:szCs w:val="24"/>
        </w:rPr>
        <w:t>Boucher (v</w:t>
      </w:r>
      <w:r w:rsidRPr="00677F38">
        <w:rPr>
          <w:rFonts w:asciiTheme="majorBidi" w:hAnsiTheme="majorBidi" w:cstheme="majorBidi"/>
          <w:sz w:val="24"/>
          <w:szCs w:val="24"/>
        </w:rPr>
        <w:t>erbe</w:t>
      </w:r>
      <w:r w:rsidR="00927D17" w:rsidRPr="00677F38">
        <w:rPr>
          <w:rFonts w:asciiTheme="majorBidi" w:hAnsiTheme="majorBidi" w:cstheme="majorBidi"/>
          <w:sz w:val="24"/>
          <w:szCs w:val="24"/>
        </w:rPr>
        <w:t>)/ boucher (n</w:t>
      </w:r>
      <w:r w:rsidRPr="00677F38">
        <w:rPr>
          <w:rFonts w:asciiTheme="majorBidi" w:hAnsiTheme="majorBidi" w:cstheme="majorBidi"/>
          <w:sz w:val="24"/>
          <w:szCs w:val="24"/>
        </w:rPr>
        <w:t>om</w:t>
      </w:r>
      <w:r w:rsidR="00927D17" w:rsidRPr="00677F38">
        <w:rPr>
          <w:rFonts w:asciiTheme="majorBidi" w:hAnsiTheme="majorBidi" w:cstheme="majorBidi"/>
          <w:sz w:val="24"/>
          <w:szCs w:val="24"/>
        </w:rPr>
        <w:t>)</w:t>
      </w:r>
    </w:p>
    <w:p w:rsidR="009C5353" w:rsidRPr="00677F38" w:rsidRDefault="009C5353" w:rsidP="009C5353">
      <w:pPr>
        <w:spacing w:after="0" w:line="240" w:lineRule="auto"/>
        <w:rPr>
          <w:rFonts w:asciiTheme="majorBidi" w:hAnsiTheme="majorBidi" w:cstheme="majorBidi"/>
          <w:sz w:val="24"/>
          <w:szCs w:val="24"/>
        </w:rPr>
      </w:pPr>
    </w:p>
    <w:p w:rsidR="009C5353" w:rsidRPr="00677F38" w:rsidRDefault="009C5353" w:rsidP="009C5353">
      <w:pPr>
        <w:rPr>
          <w:rFonts w:asciiTheme="majorBidi" w:hAnsiTheme="majorBidi" w:cstheme="majorBidi"/>
          <w:sz w:val="24"/>
          <w:szCs w:val="24"/>
        </w:rPr>
      </w:pPr>
      <w:r w:rsidRPr="00677F38">
        <w:rPr>
          <w:rFonts w:asciiTheme="majorBidi" w:hAnsiTheme="majorBidi" w:cstheme="majorBidi"/>
          <w:sz w:val="24"/>
          <w:szCs w:val="24"/>
        </w:rPr>
        <w:t xml:space="preserve">       </w:t>
      </w:r>
      <w:r w:rsidRPr="00677F38">
        <w:rPr>
          <w:rFonts w:asciiTheme="majorBidi" w:hAnsiTheme="majorBidi" w:cstheme="majorBidi"/>
          <w:b/>
          <w:bCs/>
          <w:sz w:val="24"/>
          <w:szCs w:val="24"/>
        </w:rPr>
        <w:t>3.1.2.</w:t>
      </w:r>
      <w:r w:rsidRPr="00677F38">
        <w:rPr>
          <w:rFonts w:asciiTheme="majorBidi" w:hAnsiTheme="majorBidi" w:cstheme="majorBidi"/>
          <w:sz w:val="24"/>
          <w:szCs w:val="24"/>
        </w:rPr>
        <w:t xml:space="preserve"> </w:t>
      </w:r>
      <w:r w:rsidRPr="00677F38">
        <w:rPr>
          <w:rFonts w:asciiTheme="majorBidi" w:hAnsiTheme="majorBidi" w:cstheme="majorBidi"/>
          <w:b/>
          <w:bCs/>
          <w:sz w:val="24"/>
          <w:szCs w:val="24"/>
        </w:rPr>
        <w:t xml:space="preserve">Les homophones non homographes : </w:t>
      </w:r>
      <w:r w:rsidRPr="00677F38">
        <w:rPr>
          <w:rFonts w:asciiTheme="majorBidi" w:hAnsiTheme="majorBidi" w:cstheme="majorBidi"/>
          <w:sz w:val="24"/>
          <w:szCs w:val="24"/>
        </w:rPr>
        <w:t>ils se prononcent de la même manière, mais ils s’écrivent différemment.</w:t>
      </w:r>
    </w:p>
    <w:p w:rsidR="009C5353" w:rsidRPr="00677F38" w:rsidRDefault="009C5353" w:rsidP="009C5353">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Maire/ mer/ mère</w:t>
      </w:r>
    </w:p>
    <w:p w:rsidR="009C5353" w:rsidRPr="00677F38" w:rsidRDefault="009C5353" w:rsidP="009C5353">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Ver/ verre/ vert/ vers/ vair.</w:t>
      </w:r>
    </w:p>
    <w:p w:rsidR="009C5353" w:rsidRPr="00677F38" w:rsidRDefault="009C5353" w:rsidP="009C5353">
      <w:pPr>
        <w:spacing w:after="0" w:line="240" w:lineRule="auto"/>
        <w:rPr>
          <w:rFonts w:asciiTheme="majorBidi" w:hAnsiTheme="majorBidi" w:cstheme="majorBidi"/>
          <w:sz w:val="24"/>
          <w:szCs w:val="24"/>
        </w:rPr>
      </w:pPr>
    </w:p>
    <w:p w:rsidR="009C5353" w:rsidRPr="00677F38" w:rsidRDefault="009C5353" w:rsidP="002269CF">
      <w:pPr>
        <w:spacing w:after="120" w:line="360" w:lineRule="auto"/>
        <w:rPr>
          <w:rFonts w:asciiTheme="majorBidi" w:hAnsiTheme="majorBidi" w:cstheme="majorBidi"/>
          <w:b/>
          <w:bCs/>
          <w:sz w:val="24"/>
          <w:szCs w:val="24"/>
        </w:rPr>
      </w:pPr>
      <w:r w:rsidRPr="00677F38">
        <w:rPr>
          <w:rFonts w:asciiTheme="majorBidi" w:hAnsiTheme="majorBidi" w:cstheme="majorBidi"/>
          <w:b/>
          <w:bCs/>
          <w:sz w:val="24"/>
          <w:szCs w:val="24"/>
        </w:rPr>
        <w:t xml:space="preserve">      3.1.3.  Homographes non homophones : </w:t>
      </w:r>
      <w:r w:rsidRPr="00677F38">
        <w:rPr>
          <w:rFonts w:asciiTheme="majorBidi" w:hAnsiTheme="majorBidi" w:cstheme="majorBidi"/>
          <w:sz w:val="24"/>
          <w:szCs w:val="24"/>
        </w:rPr>
        <w:t>ils s’écrivent de la même manière et</w:t>
      </w:r>
      <w:r w:rsidRPr="00677F38">
        <w:rPr>
          <w:rFonts w:asciiTheme="majorBidi" w:hAnsiTheme="majorBidi" w:cstheme="majorBidi"/>
          <w:b/>
          <w:bCs/>
          <w:sz w:val="24"/>
          <w:szCs w:val="24"/>
        </w:rPr>
        <w:t xml:space="preserve"> </w:t>
      </w:r>
      <w:r w:rsidRPr="00677F38">
        <w:rPr>
          <w:rFonts w:asciiTheme="majorBidi" w:hAnsiTheme="majorBidi" w:cstheme="majorBidi"/>
          <w:sz w:val="24"/>
          <w:szCs w:val="24"/>
        </w:rPr>
        <w:t>se prononcent différemment.</w:t>
      </w:r>
    </w:p>
    <w:p w:rsidR="009C5353" w:rsidRPr="00677F38" w:rsidRDefault="009C5353" w:rsidP="009C5353">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 Fils (enfant)/ fils (à coudre)</w:t>
      </w:r>
    </w:p>
    <w:p w:rsidR="009C5353" w:rsidRPr="00677F38" w:rsidRDefault="009C5353" w:rsidP="009C5353">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 Mentions (du verbe mentir au subjonctif présent)/ mentions (obtenir une mention,  au bac par exemple)</w:t>
      </w:r>
    </w:p>
    <w:p w:rsidR="009C5353" w:rsidRPr="00677F38" w:rsidRDefault="009C5353" w:rsidP="00396602">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 Fier (adjectif)/fier (verbe )</w:t>
      </w:r>
    </w:p>
    <w:p w:rsidR="00677F38" w:rsidRDefault="009C5353" w:rsidP="00677F38">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 Os (singulier)[os]/ os (pluriel) [o]</w:t>
      </w:r>
    </w:p>
    <w:p w:rsidR="002269CF" w:rsidRDefault="002269CF" w:rsidP="00677F38">
      <w:pPr>
        <w:spacing w:after="0" w:line="240" w:lineRule="auto"/>
        <w:rPr>
          <w:rFonts w:asciiTheme="majorBidi" w:hAnsiTheme="majorBidi" w:cstheme="majorBidi"/>
          <w:sz w:val="24"/>
          <w:szCs w:val="24"/>
        </w:rPr>
      </w:pPr>
    </w:p>
    <w:p w:rsidR="002269CF" w:rsidRDefault="002269CF" w:rsidP="00677F38">
      <w:pPr>
        <w:spacing w:after="0" w:line="240" w:lineRule="auto"/>
        <w:rPr>
          <w:rFonts w:asciiTheme="majorBidi" w:hAnsiTheme="majorBidi" w:cstheme="majorBidi"/>
          <w:sz w:val="24"/>
          <w:szCs w:val="24"/>
        </w:rPr>
      </w:pPr>
    </w:p>
    <w:p w:rsidR="00A75695" w:rsidRPr="00677F38" w:rsidRDefault="00D20247" w:rsidP="002269CF">
      <w:pPr>
        <w:spacing w:after="120" w:line="360" w:lineRule="auto"/>
        <w:jc w:val="both"/>
        <w:rPr>
          <w:rFonts w:asciiTheme="majorBidi" w:hAnsiTheme="majorBidi" w:cstheme="majorBidi"/>
          <w:sz w:val="24"/>
          <w:szCs w:val="24"/>
        </w:rPr>
      </w:pPr>
      <w:r w:rsidRPr="00677F38">
        <w:rPr>
          <w:rFonts w:asciiTheme="majorBidi" w:hAnsiTheme="majorBidi" w:cstheme="majorBidi"/>
          <w:b/>
          <w:bCs/>
          <w:sz w:val="24"/>
          <w:szCs w:val="24"/>
        </w:rPr>
        <w:t>4.</w:t>
      </w:r>
      <w:r w:rsidRPr="00677F38">
        <w:rPr>
          <w:rFonts w:asciiTheme="majorBidi" w:hAnsiTheme="majorBidi" w:cstheme="majorBidi"/>
          <w:sz w:val="24"/>
          <w:szCs w:val="24"/>
        </w:rPr>
        <w:t xml:space="preserve"> </w:t>
      </w:r>
      <w:r w:rsidRPr="00677F38">
        <w:rPr>
          <w:rFonts w:asciiTheme="majorBidi" w:hAnsiTheme="majorBidi" w:cstheme="majorBidi"/>
          <w:b/>
          <w:bCs/>
          <w:sz w:val="24"/>
          <w:szCs w:val="24"/>
        </w:rPr>
        <w:t>La paronymie</w:t>
      </w:r>
      <w:r w:rsidRPr="00677F38">
        <w:rPr>
          <w:rFonts w:asciiTheme="majorBidi" w:hAnsiTheme="majorBidi" w:cstheme="majorBidi"/>
          <w:sz w:val="24"/>
          <w:szCs w:val="24"/>
        </w:rPr>
        <w:t> :</w:t>
      </w:r>
      <w:r w:rsidR="00A75695" w:rsidRPr="00677F38">
        <w:rPr>
          <w:rFonts w:asciiTheme="majorBidi" w:hAnsiTheme="majorBidi" w:cstheme="majorBidi"/>
          <w:sz w:val="24"/>
          <w:szCs w:val="24"/>
        </w:rPr>
        <w:t xml:space="preserve"> Les paronymes sont deux mots proches par la sonorité ou la graphie mais dont le sens est différent, pouvant provoquer ainsi des erreurs.</w:t>
      </w:r>
    </w:p>
    <w:p w:rsidR="00D20247" w:rsidRPr="00677F38" w:rsidRDefault="00A75695" w:rsidP="002269CF">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   - Affectif/ effectif ; allocation/ allocution ; antinomie/ antonymie.</w:t>
      </w:r>
    </w:p>
    <w:p w:rsidR="00A75695" w:rsidRPr="00677F38" w:rsidRDefault="00A75695" w:rsidP="00A75695">
      <w:pPr>
        <w:spacing w:after="0" w:line="240" w:lineRule="auto"/>
        <w:rPr>
          <w:rFonts w:asciiTheme="majorBidi" w:hAnsiTheme="majorBidi" w:cstheme="majorBidi"/>
          <w:sz w:val="24"/>
          <w:szCs w:val="24"/>
        </w:rPr>
      </w:pPr>
    </w:p>
    <w:p w:rsidR="00A75695" w:rsidRPr="00677F38" w:rsidRDefault="00A75695" w:rsidP="00A75695">
      <w:pPr>
        <w:spacing w:after="0" w:line="240" w:lineRule="auto"/>
        <w:rPr>
          <w:rFonts w:asciiTheme="majorBidi" w:hAnsiTheme="majorBidi" w:cstheme="majorBidi"/>
          <w:sz w:val="24"/>
          <w:szCs w:val="24"/>
        </w:rPr>
      </w:pPr>
    </w:p>
    <w:p w:rsidR="00A75695" w:rsidRPr="00677F38" w:rsidRDefault="00A75695" w:rsidP="00A75695">
      <w:pPr>
        <w:spacing w:after="0" w:line="240" w:lineRule="auto"/>
        <w:rPr>
          <w:rFonts w:asciiTheme="majorBidi" w:hAnsiTheme="majorBidi" w:cstheme="majorBidi"/>
          <w:b/>
          <w:bCs/>
          <w:sz w:val="24"/>
          <w:szCs w:val="24"/>
        </w:rPr>
      </w:pPr>
      <w:r w:rsidRPr="00677F38">
        <w:rPr>
          <w:rFonts w:asciiTheme="majorBidi" w:hAnsiTheme="majorBidi" w:cstheme="majorBidi"/>
          <w:b/>
          <w:bCs/>
          <w:sz w:val="24"/>
          <w:szCs w:val="24"/>
        </w:rPr>
        <w:t xml:space="preserve">    </w:t>
      </w:r>
      <w:r w:rsidR="00D51B04" w:rsidRPr="00677F38">
        <w:rPr>
          <w:rFonts w:asciiTheme="majorBidi" w:hAnsiTheme="majorBidi" w:cstheme="majorBidi"/>
          <w:b/>
          <w:bCs/>
          <w:sz w:val="24"/>
          <w:szCs w:val="24"/>
        </w:rPr>
        <w:t xml:space="preserve">   </w:t>
      </w:r>
      <w:r w:rsidRPr="00677F38">
        <w:rPr>
          <w:rFonts w:asciiTheme="majorBidi" w:hAnsiTheme="majorBidi" w:cstheme="majorBidi"/>
          <w:b/>
          <w:bCs/>
          <w:sz w:val="24"/>
          <w:szCs w:val="24"/>
        </w:rPr>
        <w:t xml:space="preserve">4.1. Les paronymes de même radical : </w:t>
      </w:r>
      <w:r w:rsidRPr="00677F38">
        <w:rPr>
          <w:rFonts w:asciiTheme="majorBidi" w:hAnsiTheme="majorBidi" w:cstheme="majorBidi"/>
          <w:sz w:val="24"/>
          <w:szCs w:val="24"/>
        </w:rPr>
        <w:t>on les distingue par leurs affixes.</w:t>
      </w:r>
    </w:p>
    <w:p w:rsidR="00A75695" w:rsidRPr="00677F38" w:rsidRDefault="00A75695" w:rsidP="00A75695">
      <w:pPr>
        <w:spacing w:after="0" w:line="240" w:lineRule="auto"/>
        <w:rPr>
          <w:rFonts w:asciiTheme="majorBidi" w:hAnsiTheme="majorBidi" w:cstheme="majorBidi"/>
          <w:sz w:val="24"/>
          <w:szCs w:val="24"/>
        </w:rPr>
      </w:pP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Abjurer (renoncer solennellement)/adjurer (supplice)</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Affection (sentiment)/ affectation (manque de naturel)</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Affleurer (apparaître en surface)/ effleurer (toucher légèrement)</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Affliger (chagriner)/ infliger (une correction)</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Allocution (discours)/ élocution (manière de s’exprimer)</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Allusion (sous-entendu)/illusion (d’optique/mirage)</w:t>
      </w:r>
    </w:p>
    <w:p w:rsidR="00A75695" w:rsidRPr="00677F38" w:rsidRDefault="00A75695" w:rsidP="00A75695">
      <w:pPr>
        <w:spacing w:after="0" w:line="360" w:lineRule="auto"/>
        <w:rPr>
          <w:rFonts w:asciiTheme="majorBidi" w:hAnsiTheme="majorBidi" w:cstheme="majorBidi"/>
          <w:sz w:val="24"/>
          <w:szCs w:val="24"/>
        </w:rPr>
      </w:pPr>
    </w:p>
    <w:p w:rsidR="00A75695" w:rsidRPr="00677F38" w:rsidRDefault="00D51B04" w:rsidP="00A75695">
      <w:pPr>
        <w:spacing w:after="0" w:line="360" w:lineRule="auto"/>
        <w:rPr>
          <w:rFonts w:asciiTheme="majorBidi" w:hAnsiTheme="majorBidi" w:cstheme="majorBidi"/>
          <w:b/>
          <w:bCs/>
          <w:sz w:val="24"/>
          <w:szCs w:val="24"/>
        </w:rPr>
      </w:pPr>
      <w:r w:rsidRPr="00677F38">
        <w:rPr>
          <w:rFonts w:asciiTheme="majorBidi" w:hAnsiTheme="majorBidi" w:cstheme="majorBidi"/>
          <w:b/>
          <w:bCs/>
          <w:sz w:val="24"/>
          <w:szCs w:val="24"/>
        </w:rPr>
        <w:t xml:space="preserve">      4</w:t>
      </w:r>
      <w:r w:rsidR="00A75695" w:rsidRPr="00677F38">
        <w:rPr>
          <w:rFonts w:asciiTheme="majorBidi" w:hAnsiTheme="majorBidi" w:cstheme="majorBidi"/>
          <w:b/>
          <w:bCs/>
          <w:sz w:val="24"/>
          <w:szCs w:val="24"/>
        </w:rPr>
        <w:t>.2. Les paronymes à radicaux différents:</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Assertion (affirmation)/ insertion (action d’insérer)</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Décerner (accorder une récompenser)/ discerner (distinguer)</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Consommer (manger)/consumer (par le feu)</w:t>
      </w:r>
    </w:p>
    <w:p w:rsidR="00A75695" w:rsidRPr="00677F38" w:rsidRDefault="00D51B04"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Percepteur</w:t>
      </w:r>
      <w:r w:rsidR="00A75695" w:rsidRPr="00677F38">
        <w:rPr>
          <w:rFonts w:asciiTheme="majorBidi" w:hAnsiTheme="majorBidi" w:cstheme="majorBidi"/>
          <w:sz w:val="24"/>
          <w:szCs w:val="24"/>
        </w:rPr>
        <w:t xml:space="preserve"> (fonctionnaire des impôts)/ précepteur (éducateur)</w:t>
      </w:r>
    </w:p>
    <w:p w:rsidR="00D51B04" w:rsidRPr="00677F38" w:rsidRDefault="00D51B04" w:rsidP="00D51B04">
      <w:pPr>
        <w:spacing w:after="0" w:line="360" w:lineRule="auto"/>
        <w:rPr>
          <w:rFonts w:asciiTheme="majorBidi" w:hAnsiTheme="majorBidi" w:cstheme="majorBidi"/>
          <w:sz w:val="24"/>
          <w:szCs w:val="24"/>
        </w:rPr>
      </w:pPr>
      <w:r w:rsidRPr="00677F38">
        <w:rPr>
          <w:rFonts w:asciiTheme="majorBidi" w:hAnsiTheme="majorBidi" w:cstheme="majorBidi"/>
          <w:sz w:val="24"/>
          <w:szCs w:val="24"/>
        </w:rPr>
        <w:t>Exode</w:t>
      </w:r>
      <w:r w:rsidR="00A75695" w:rsidRPr="00677F38">
        <w:rPr>
          <w:rFonts w:asciiTheme="majorBidi" w:hAnsiTheme="majorBidi" w:cstheme="majorBidi"/>
          <w:sz w:val="24"/>
          <w:szCs w:val="24"/>
        </w:rPr>
        <w:t xml:space="preserve"> (départ en masse)/ exorde (début d’un discours</w:t>
      </w:r>
      <w:r w:rsidRPr="00677F38">
        <w:rPr>
          <w:rFonts w:asciiTheme="majorBidi" w:hAnsiTheme="majorBidi" w:cstheme="majorBidi"/>
          <w:sz w:val="24"/>
          <w:szCs w:val="24"/>
        </w:rPr>
        <w:t xml:space="preserve"> ou d’une démonstration</w:t>
      </w:r>
      <w:r w:rsidR="00A75695" w:rsidRPr="00677F38">
        <w:rPr>
          <w:rFonts w:asciiTheme="majorBidi" w:hAnsiTheme="majorBidi" w:cstheme="majorBidi"/>
          <w:sz w:val="24"/>
          <w:szCs w:val="24"/>
        </w:rPr>
        <w:t>).</w:t>
      </w:r>
    </w:p>
    <w:p w:rsidR="00D51B04" w:rsidRDefault="00D51B04" w:rsidP="00D51B04">
      <w:pPr>
        <w:spacing w:after="0" w:line="360" w:lineRule="auto"/>
        <w:rPr>
          <w:rFonts w:asciiTheme="majorBidi" w:hAnsiTheme="majorBidi" w:cstheme="majorBidi"/>
          <w:b/>
          <w:bCs/>
          <w:sz w:val="24"/>
          <w:szCs w:val="24"/>
        </w:rPr>
      </w:pPr>
    </w:p>
    <w:p w:rsidR="00677F38" w:rsidRPr="00677F38" w:rsidRDefault="00677F38" w:rsidP="00677F38">
      <w:pPr>
        <w:rPr>
          <w:rFonts w:asciiTheme="majorBidi" w:hAnsiTheme="majorBidi" w:cstheme="majorBidi"/>
        </w:rPr>
      </w:pPr>
    </w:p>
    <w:p w:rsidR="00677F38" w:rsidRPr="00677F38" w:rsidRDefault="00677F38" w:rsidP="00677F38">
      <w:pPr>
        <w:rPr>
          <w:rFonts w:asciiTheme="majorBidi" w:hAnsiTheme="majorBidi" w:cstheme="majorBidi"/>
        </w:rPr>
      </w:pPr>
    </w:p>
    <w:p w:rsidR="00D20247" w:rsidRPr="00677F38" w:rsidRDefault="00D20247" w:rsidP="00677F38">
      <w:pPr>
        <w:rPr>
          <w:rFonts w:asciiTheme="majorBidi" w:hAnsiTheme="majorBidi" w:cstheme="majorBidi"/>
        </w:rPr>
      </w:pPr>
    </w:p>
    <w:sectPr w:rsidR="00D20247" w:rsidRPr="00677F38" w:rsidSect="009C5353">
      <w:footerReference w:type="default" r:id="rId7"/>
      <w:pgSz w:w="11906" w:h="16838"/>
      <w:pgMar w:top="141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594" w:rsidRDefault="00330594" w:rsidP="005E6411">
      <w:pPr>
        <w:spacing w:after="0" w:line="240" w:lineRule="auto"/>
      </w:pPr>
      <w:r>
        <w:separator/>
      </w:r>
    </w:p>
  </w:endnote>
  <w:endnote w:type="continuationSeparator" w:id="1">
    <w:p w:rsidR="00330594" w:rsidRDefault="00330594" w:rsidP="005E6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727609"/>
      <w:docPartObj>
        <w:docPartGallery w:val="Page Numbers (Bottom of Page)"/>
        <w:docPartUnique/>
      </w:docPartObj>
    </w:sdtPr>
    <w:sdtContent>
      <w:p w:rsidR="00F30638" w:rsidRDefault="00831E4A">
        <w:pPr>
          <w:pStyle w:val="Pieddepage"/>
          <w:jc w:val="center"/>
        </w:pPr>
        <w:fldSimple w:instr=" PAGE   \* MERGEFORMAT ">
          <w:r w:rsidR="00330594">
            <w:rPr>
              <w:noProof/>
            </w:rPr>
            <w:t>1</w:t>
          </w:r>
        </w:fldSimple>
      </w:p>
    </w:sdtContent>
  </w:sdt>
  <w:p w:rsidR="00F30638" w:rsidRDefault="00F3063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594" w:rsidRDefault="00330594" w:rsidP="005E6411">
      <w:pPr>
        <w:spacing w:after="0" w:line="240" w:lineRule="auto"/>
      </w:pPr>
      <w:r>
        <w:separator/>
      </w:r>
    </w:p>
  </w:footnote>
  <w:footnote w:type="continuationSeparator" w:id="1">
    <w:p w:rsidR="00330594" w:rsidRDefault="00330594" w:rsidP="005E64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B5BD3"/>
    <w:multiLevelType w:val="hybridMultilevel"/>
    <w:tmpl w:val="2E14248A"/>
    <w:lvl w:ilvl="0" w:tplc="E558EBE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B53EC9"/>
    <w:rsid w:val="00082657"/>
    <w:rsid w:val="001177D5"/>
    <w:rsid w:val="001C4B19"/>
    <w:rsid w:val="002269CF"/>
    <w:rsid w:val="00246EDC"/>
    <w:rsid w:val="00330594"/>
    <w:rsid w:val="00396602"/>
    <w:rsid w:val="00530076"/>
    <w:rsid w:val="005E6411"/>
    <w:rsid w:val="006621C0"/>
    <w:rsid w:val="00677F38"/>
    <w:rsid w:val="00831E4A"/>
    <w:rsid w:val="00927D17"/>
    <w:rsid w:val="00962F4C"/>
    <w:rsid w:val="00972EB3"/>
    <w:rsid w:val="009C5353"/>
    <w:rsid w:val="00A75695"/>
    <w:rsid w:val="00B53EC9"/>
    <w:rsid w:val="00D20247"/>
    <w:rsid w:val="00D51B04"/>
    <w:rsid w:val="00EA15AF"/>
    <w:rsid w:val="00ED6DE4"/>
    <w:rsid w:val="00F0351D"/>
    <w:rsid w:val="00F306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3EC9"/>
    <w:pPr>
      <w:ind w:left="720"/>
      <w:contextualSpacing/>
    </w:pPr>
  </w:style>
  <w:style w:type="paragraph" w:styleId="En-tte">
    <w:name w:val="header"/>
    <w:basedOn w:val="Normal"/>
    <w:link w:val="En-tteCar"/>
    <w:uiPriority w:val="99"/>
    <w:semiHidden/>
    <w:unhideWhenUsed/>
    <w:rsid w:val="005E641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E6411"/>
  </w:style>
  <w:style w:type="paragraph" w:styleId="Pieddepage">
    <w:name w:val="footer"/>
    <w:basedOn w:val="Normal"/>
    <w:link w:val="PieddepageCar"/>
    <w:uiPriority w:val="99"/>
    <w:unhideWhenUsed/>
    <w:rsid w:val="005E64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641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733</Words>
  <Characters>4036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dcterms:created xsi:type="dcterms:W3CDTF">2022-04-19T00:21:00Z</dcterms:created>
  <dcterms:modified xsi:type="dcterms:W3CDTF">2022-04-23T16:04:00Z</dcterms:modified>
</cp:coreProperties>
</file>