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627" w14:textId="75CA7FD9" w:rsidR="009226B6" w:rsidRDefault="009226B6" w:rsidP="009226B6">
      <w:pPr>
        <w:shd w:val="clear" w:color="auto" w:fill="BFBFBF" w:themeFill="background1" w:themeFillShade="BF"/>
        <w:spacing w:after="0" w:line="240" w:lineRule="auto"/>
        <w:jc w:val="center"/>
        <w:rPr>
          <w:rFonts w:ascii="Book Antiqua" w:hAnsi="Book Antiqua"/>
          <w:b/>
          <w:bCs/>
          <w:i/>
          <w:iCs/>
          <w:color w:val="FF0000"/>
          <w:sz w:val="40"/>
          <w:szCs w:val="40"/>
          <w:lang w:val="fr-FR"/>
        </w:rPr>
      </w:pPr>
      <w:r>
        <w:rPr>
          <w:rFonts w:ascii="Book Antiqua" w:hAnsi="Book Antiqua"/>
          <w:b/>
          <w:bCs/>
          <w:i/>
          <w:iCs/>
          <w:color w:val="FF0000"/>
          <w:sz w:val="40"/>
          <w:szCs w:val="40"/>
          <w:lang w:val="fr-FR"/>
        </w:rPr>
        <w:t xml:space="preserve">Cours : </w:t>
      </w:r>
    </w:p>
    <w:p w14:paraId="187416F3" w14:textId="77777777" w:rsidR="00346551" w:rsidRDefault="00346551" w:rsidP="009226B6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38A12545" w14:textId="079DFF75" w:rsidR="00346551" w:rsidRDefault="00EB27E9" w:rsidP="00EB27E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EB27E9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Le modèle séquentiel de la traduction</w:t>
      </w:r>
    </w:p>
    <w:p w14:paraId="6446B96A" w14:textId="400D483D" w:rsidR="00EB27E9" w:rsidRDefault="00250B0C" w:rsidP="00EB27E9">
      <w:pPr>
        <w:pStyle w:val="Paragraphedeliste"/>
        <w:numPr>
          <w:ilvl w:val="0"/>
          <w:numId w:val="4"/>
        </w:num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Deuxième Partie</w:t>
      </w:r>
      <w:r w:rsidR="00EB27E9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-</w:t>
      </w:r>
    </w:p>
    <w:p w14:paraId="589920E7" w14:textId="05902878" w:rsidR="00250B0C" w:rsidRDefault="00250B0C" w:rsidP="00250B0C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14:paraId="066D4250" w14:textId="2895ABD0" w:rsidR="00250B0C" w:rsidRDefault="00250B0C" w:rsidP="00250B0C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14:paraId="10ED1F9C" w14:textId="536D883A" w:rsidR="00250B0C" w:rsidRPr="00C6509A" w:rsidRDefault="00C6509A" w:rsidP="00C6509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bookmarkStart w:id="0" w:name="_Hlk101013850"/>
      <w:r w:rsidRPr="00C6509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La première étape : </w:t>
      </w:r>
    </w:p>
    <w:bookmarkEnd w:id="0"/>
    <w:p w14:paraId="2446E0C8" w14:textId="249C9B56" w:rsidR="00C6509A" w:rsidRPr="005B1571" w:rsidRDefault="00C6509A" w:rsidP="00C6509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6509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La compréhension : </w:t>
      </w:r>
      <w:r w:rsidR="005B1571">
        <w:rPr>
          <w:rFonts w:asciiTheme="majorBidi" w:hAnsiTheme="majorBidi" w:cstheme="majorBidi"/>
          <w:sz w:val="28"/>
          <w:szCs w:val="28"/>
          <w:lang w:val="fr-FR"/>
        </w:rPr>
        <w:t xml:space="preserve">Cette même étape se déroule en plusieurs sous étapes qu’on peut résumer comme suit : </w:t>
      </w:r>
    </w:p>
    <w:p w14:paraId="26FFF54E" w14:textId="46D31AEC" w:rsidR="005B1571" w:rsidRPr="00212C32" w:rsidRDefault="00201B6B" w:rsidP="005B1571">
      <w:pPr>
        <w:pStyle w:val="Paragraphedeliste"/>
        <w:numPr>
          <w:ilvl w:val="0"/>
          <w:numId w:val="5"/>
        </w:numPr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>Dans un premier temps, comme n’importe quel récepteur d’énoncé verbal dans la vie, le traducteur perçoit des images</w:t>
      </w:r>
      <w:r w:rsidRPr="00201B6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>(et l’interprète perçoit des sons, et éventuellement des images)</w:t>
      </w:r>
      <w:r w:rsidRPr="00201B6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>…et les analyse pour reconnaître des mots, des structures, des graphiques, le cas échéant des moues et autres éléments non verbaux dans le cas de l’interprétation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201B6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Dans la vie courante, quand on lit ou quand on écoute un discours, cette analyse est en général </w:t>
      </w:r>
      <w:r w:rsidRPr="00201B6B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subconsciente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>, sauf quand il y a difficulté d’identifier des mots ou de comprendre des idées (si l’on a vraiment besoin de comprendre)</w:t>
      </w:r>
      <w:r w:rsidRPr="00201B6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En traduction, l’analyse est souvent </w:t>
      </w:r>
      <w:r w:rsidRPr="00E570D2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consciente</w:t>
      </w:r>
      <w:r w:rsidRPr="00201B6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et doit faire l’objet d’une vérification délibérée par un test de plausibilité dès que le moindre doute apparaît</w:t>
      </w:r>
      <w:r w:rsidR="00E570D2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201B6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2BBCAA79" w14:textId="4A2F4DA5" w:rsidR="00212C32" w:rsidRPr="00212C32" w:rsidRDefault="00212C32" w:rsidP="005B157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En effet,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- une maîtrise insuffisante de la langue de départ,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- des maladresses d’expression de l’énonciateur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- des connaissances thématiques et contextuelles insuffisantes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peuvent entraver la compréhension d’un énoncé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(formulé à l’intention d’un lecteur autre que le traducteur)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Et la tentation de prendre le chemin le plus facile, à savoir </w:t>
      </w:r>
      <w:r w:rsidRPr="00212C32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le transcodage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, est grande… mais très risquée</w:t>
      </w:r>
      <w:r w:rsidRPr="00212C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212C32">
        <w:rPr>
          <w:rStyle w:val="tr"/>
          <w:rFonts w:asciiTheme="majorBidi" w:hAnsiTheme="majorBidi" w:cstheme="majorBidi"/>
          <w:sz w:val="28"/>
          <w:szCs w:val="28"/>
          <w:lang w:val="fr-FR"/>
        </w:rPr>
        <w:t>C’est en y résistant que l’on évite de nombreuses erreurs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13C290AE" w14:textId="541C6F32" w:rsidR="00212C32" w:rsidRPr="00212C32" w:rsidRDefault="00925ADB" w:rsidP="005B1571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Pour faire face aux difficultés et aux problèmes mentionnés ci-dessus, le traducteur fera appel à : </w:t>
      </w:r>
    </w:p>
    <w:p w14:paraId="4A50EBE2" w14:textId="77777777" w:rsidR="00BB1E0A" w:rsidRDefault="00BB1E0A" w:rsidP="00C6509A">
      <w:pPr>
        <w:ind w:left="36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     </w:t>
      </w:r>
      <w:r w:rsidR="00925ADB"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Conn</w:t>
      </w:r>
      <w:r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aissances</w:t>
      </w:r>
      <w:r w:rsidR="00925ADB"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ling</w:t>
      </w:r>
      <w:r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uistiques</w:t>
      </w:r>
      <w:r w:rsidR="00925ADB"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+ Conn</w:t>
      </w:r>
      <w:r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aissances</w:t>
      </w:r>
      <w:r w:rsidR="00925ADB"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extraling</w:t>
      </w:r>
      <w:r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uistiques </w:t>
      </w:r>
      <w:r w:rsidR="00925ADB" w:rsidRPr="00BB1E0A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+ Analyse </w:t>
      </w:r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→ Complémentarité des </w:t>
      </w:r>
      <w:proofErr w:type="spellStart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conn</w:t>
      </w:r>
      <w:proofErr w:type="spellEnd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proofErr w:type="spellStart"/>
      <w:proofErr w:type="gramStart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lingu</w:t>
      </w:r>
      <w:proofErr w:type="spellEnd"/>
      <w:proofErr w:type="gramEnd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proofErr w:type="gramStart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et</w:t>
      </w:r>
      <w:proofErr w:type="gramEnd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extralingu</w:t>
      </w:r>
      <w:proofErr w:type="spellEnd"/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="00925ADB" w:rsidRPr="00925AD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51BB488E" w14:textId="7047965B" w:rsidR="00C6509A" w:rsidRDefault="00BB1E0A" w:rsidP="00BB1E0A">
      <w:pPr>
        <w:ind w:left="360"/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N.B. :</w:t>
      </w:r>
      <w:r w:rsidR="00925ADB" w:rsidRPr="00925AD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- Dans le travail à partir d’une langue non maternelle, des subtilités linguistiques peuvent nous échapper…</w:t>
      </w:r>
      <w:r w:rsidR="00925ADB" w:rsidRPr="00925AD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Le problème se pose également dans une langue maternelle, en fonction du sociolecte concerné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,</w:t>
      </w:r>
      <w:r w:rsidR="00925ADB" w:rsidRPr="00925AD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l</w:t>
      </w:r>
      <w:r w:rsidR="00925ADB" w:rsidRPr="00925ADB">
        <w:rPr>
          <w:rStyle w:val="tr"/>
          <w:rFonts w:asciiTheme="majorBidi" w:hAnsiTheme="majorBidi" w:cstheme="majorBidi"/>
          <w:sz w:val="28"/>
          <w:szCs w:val="28"/>
          <w:lang w:val="fr-FR"/>
        </w:rPr>
        <w:t>es auteurs des textes que nous traduisons écrivent souvent eux aussi dans une langue non maternelle, et les indications linguistiques en surface que nous trouvons peuvent être trompeuses.</w:t>
      </w:r>
      <w:r w:rsidR="00925ADB" w:rsidRPr="00925AD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925ADB"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D’où l’importance de l’analyse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14:paraId="05601739" w14:textId="1B50E49B" w:rsidR="00BB1E0A" w:rsidRDefault="00BB1E0A" w:rsidP="00BB1E0A">
      <w:pPr>
        <w:ind w:left="360"/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4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BB1E0A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L’analyse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utilise les connaissances </w:t>
      </w:r>
      <w:proofErr w:type="spellStart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lingu</w:t>
      </w:r>
      <w:proofErr w:type="spellEnd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proofErr w:type="gramStart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et</w:t>
      </w:r>
      <w:proofErr w:type="gramEnd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spellStart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extralingu</w:t>
      </w:r>
      <w:proofErr w:type="spellEnd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proofErr w:type="gramStart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dont</w:t>
      </w:r>
      <w:proofErr w:type="gramEnd"/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nous disposons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Pour interpréter correctement l’énoncé, les </w:t>
      </w:r>
      <w:r w:rsidRPr="00BB1E0A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connaissances existantes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ne suffisent pas toujours, et le traducteur doit souvent aller chercher des connaissances complémentaires pour les besoins de la compréhension d’un énoncé précis (et de la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lastRenderedPageBreak/>
        <w:t>reformulation).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C’est </w:t>
      </w:r>
      <w:r w:rsidRPr="00BB1E0A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l’acquisition de connaissances ad hoc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Qui est capitale dans la traduction professionnelle, et peut prendre une proportion importante du temps de traduction total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14:paraId="095EC8FB" w14:textId="20E82E2C" w:rsidR="00BB1E0A" w:rsidRDefault="00BB1E0A" w:rsidP="00BB1E0A">
      <w:pPr>
        <w:ind w:left="360"/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5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En tout état de cause, dès que le moindre doute se pose, il faut faire une </w:t>
      </w:r>
      <w:r w:rsidRPr="002B4F41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analyse de plausibilité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de ce que l’on pense avoir compris :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Par rapport aux connaissances dont on dispose, y compris celles ayant trait à l’énonciateur, à ses intentions et à celles du client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2B4F41">
        <w:rPr>
          <w:rStyle w:val="tr"/>
          <w:rFonts w:asciiTheme="majorBidi" w:hAnsiTheme="majorBidi" w:cstheme="majorBidi"/>
          <w:sz w:val="28"/>
          <w:szCs w:val="28"/>
          <w:lang w:val="fr-FR"/>
        </w:rPr>
        <w:t>p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>ar rapport à ce que dit le texte dans d’autres parties que celle sur laquelle on travaille au moment de l’analyse</w:t>
      </w:r>
      <w:r w:rsidRPr="00BB1E0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B1E0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Si l’analyse fait apparaître que ce que l’on a compris n’est pas plausible, essayer de trouver une autre interprétation de l’énoncé, et ainsi de suite, jusqu’à ce que l’on trouve une </w:t>
      </w:r>
      <w:r w:rsidRPr="002B4F41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hypothèse de sens plausible</w:t>
      </w:r>
      <w:r w:rsidR="002B4F41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.</w:t>
      </w:r>
    </w:p>
    <w:p w14:paraId="06400091" w14:textId="0EA2B3AE" w:rsidR="002B4F41" w:rsidRDefault="002B4F41" w:rsidP="00BB1E0A">
      <w:pPr>
        <w:ind w:left="360"/>
        <w:rPr>
          <w:rStyle w:val="lev"/>
          <w:rFonts w:asciiTheme="majorBidi" w:hAnsiTheme="majorBidi" w:cstheme="majorBidi"/>
          <w:i/>
          <w:iCs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 xml:space="preserve">6. </w:t>
      </w:r>
      <w:r w:rsidRPr="002B4F41">
        <w:rPr>
          <w:rStyle w:val="lev"/>
          <w:rFonts w:asciiTheme="majorBidi" w:hAnsiTheme="majorBidi" w:cstheme="majorBidi"/>
          <w:i/>
          <w:iCs/>
          <w:sz w:val="28"/>
          <w:szCs w:val="28"/>
          <w:lang w:val="fr-FR"/>
        </w:rPr>
        <w:t>Interprétation et décisions Phase de compréhension</w:t>
      </w:r>
      <w:r>
        <w:rPr>
          <w:rStyle w:val="lev"/>
          <w:rFonts w:asciiTheme="majorBidi" w:hAnsiTheme="majorBidi" w:cstheme="majorBidi"/>
          <w:i/>
          <w:iCs/>
          <w:sz w:val="28"/>
          <w:szCs w:val="28"/>
          <w:lang w:val="fr-FR"/>
        </w:rPr>
        <w:t xml:space="preserve"> : </w:t>
      </w:r>
    </w:p>
    <w:p w14:paraId="12D3D170" w14:textId="266F32F9" w:rsidR="002B4F41" w:rsidRDefault="002B4F41" w:rsidP="00BB1E0A">
      <w:pPr>
        <w:ind w:left="360"/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Pour récapituler : </w:t>
      </w:r>
    </w:p>
    <w:p w14:paraId="7BCC8891" w14:textId="77777777" w:rsidR="002B4F41" w:rsidRPr="002B4F41" w:rsidRDefault="002B4F41" w:rsidP="00BB1E0A">
      <w:pPr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Base de connaissances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Linguistiques, Extralinguistiques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</w:p>
    <w:p w14:paraId="46DA8C5A" w14:textId="77777777" w:rsidR="002B4F41" w:rsidRPr="002B4F41" w:rsidRDefault="002B4F41" w:rsidP="00BB1E0A">
      <w:pPr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Acquisition de connaissances ad hoc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Linguistiques, Extralinguistiques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</w:p>
    <w:p w14:paraId="4C16FBAE" w14:textId="77777777" w:rsidR="002B4F41" w:rsidRPr="002B4F41" w:rsidRDefault="002B4F41" w:rsidP="00BB1E0A">
      <w:pPr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Hypothèse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de sens</w:t>
      </w:r>
      <w:r w:rsidRPr="002B4F41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</w:p>
    <w:p w14:paraId="13034025" w14:textId="33088B8E" w:rsidR="002B4F41" w:rsidRDefault="002B4F41" w:rsidP="00BB1E0A">
      <w:pPr>
        <w:ind w:left="360"/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</w:pPr>
      <w:r w:rsidRPr="002B4F41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Plausible ?</w:t>
      </w:r>
      <w:r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ou Non ? </w:t>
      </w:r>
    </w:p>
    <w:p w14:paraId="41AB65B3" w14:textId="75A6D9CE" w:rsidR="00D1537B" w:rsidRDefault="00D1537B" w:rsidP="00D1537B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C6509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deuxième</w:t>
      </w:r>
      <w:r w:rsidRPr="00C6509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étape : </w:t>
      </w:r>
    </w:p>
    <w:p w14:paraId="1CFEAC2C" w14:textId="041B8E2F" w:rsidR="000914FA" w:rsidRDefault="000914FA" w:rsidP="000914FA">
      <w:pPr>
        <w:rPr>
          <w:rFonts w:asciiTheme="majorBidi" w:hAnsiTheme="majorBidi" w:cstheme="majorBidi"/>
          <w:sz w:val="28"/>
          <w:szCs w:val="28"/>
          <w:lang w:val="fr-FR"/>
        </w:rPr>
      </w:pPr>
      <w:r w:rsidRPr="000914F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-La reformulation :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tout comme l’étape de compréhension ; cette étape passe par plusieurs autres étapes qu’on peut résumer comme suit : </w:t>
      </w:r>
    </w:p>
    <w:p w14:paraId="302A5021" w14:textId="28CFE072" w:rsidR="000914FA" w:rsidRDefault="000914FA" w:rsidP="000914FA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1. 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Une fois que l’on s’est assuré d’avoir compris ce que dit la partie de l’énoncé sur laquelle on travaille, on passe à la reformulation</w:t>
      </w:r>
      <w:r w:rsid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Parfois elle se fait sans problèmes apparents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m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ais souvent, on a besoin de réfléchir et/ou </w:t>
      </w:r>
      <w:r w:rsidR="00044CFE" w:rsidRPr="00044CFE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d’acquérir</w:t>
      </w:r>
      <w:r w:rsidR="00044CFE" w:rsidRPr="00044C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de nouvelles connaissances ad hoc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(notamment terminologiques et phraséologiques)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Il faut toujours relire son énoncé en langue d’arrivée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se demander s’il est fidèle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044CFE" w:rsidRPr="00044CFE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clair/facile à lire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, et par ailleurs éditorialement </w:t>
      </w:r>
      <w:r w:rsidR="00044CFE" w:rsidRPr="00044CFE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acceptable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par rapport à sa fonction</w:t>
      </w:r>
      <w:r w:rsidR="00044CFE" w:rsidRPr="00044CF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44CFE" w:rsidRP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(compte tenu de sa fonction aux yeux du client/de l’énonciateur et des attentes et normes du groupe auquel il est destiné)</w:t>
      </w:r>
      <w:r w:rsidR="00044CFE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</w:p>
    <w:p w14:paraId="49E22B83" w14:textId="22DD62DB" w:rsidR="00044CFE" w:rsidRDefault="00044CFE" w:rsidP="000914FA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2. </w:t>
      </w:r>
      <w:r w:rsid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La précédente sous étape est-elle nécessaire ? </w:t>
      </w:r>
    </w:p>
    <w:p w14:paraId="3450B8BF" w14:textId="2629BA14" w:rsidR="008B3B5A" w:rsidRDefault="008B3B5A" w:rsidP="000914FA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Essentiellement, en raison de </w:t>
      </w:r>
      <w:r w:rsidRPr="008B3B5A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« l’attraction »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qu’exerce </w:t>
      </w:r>
      <w:r w:rsidRPr="008B3B5A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l’énoncé de départ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sur l’énonciation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8B3B5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>Parfois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, l’i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>nterférence sur le plan lexical ou grammatical</w:t>
      </w:r>
      <w:r w:rsidRPr="008B3B5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m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>ais très souvent sur le plan phraséologique</w:t>
      </w:r>
      <w:r w:rsidRPr="008B3B5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q</w:t>
      </w:r>
      <w:r w:rsidRPr="008B3B5A">
        <w:rPr>
          <w:rStyle w:val="tr"/>
          <w:rFonts w:asciiTheme="majorBidi" w:hAnsiTheme="majorBidi" w:cstheme="majorBidi"/>
          <w:sz w:val="28"/>
          <w:szCs w:val="28"/>
          <w:lang w:val="fr-FR"/>
        </w:rPr>
        <w:t>ui donne des résultats que l’on peut améliorer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14:paraId="29D44F62" w14:textId="778B2AA3" w:rsidR="008B3B5A" w:rsidRDefault="00AD02C7" w:rsidP="00AD02C7">
      <w:pPr>
        <w:rPr>
          <w:rStyle w:val="lev"/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3.</w:t>
      </w:r>
      <w:r w:rsidRPr="00AD02C7">
        <w:rPr>
          <w:rStyle w:val="Paragraphedeliste"/>
          <w:lang w:val="fr-FR"/>
        </w:rPr>
        <w:t xml:space="preserve"> </w:t>
      </w:r>
      <w:r w:rsidRPr="00AD02C7">
        <w:rPr>
          <w:rStyle w:val="lev"/>
          <w:rFonts w:asciiTheme="majorBidi" w:hAnsiTheme="majorBidi" w:cstheme="majorBidi"/>
          <w:sz w:val="28"/>
          <w:szCs w:val="28"/>
          <w:lang w:val="fr-FR"/>
        </w:rPr>
        <w:t xml:space="preserve">Décisions : </w:t>
      </w:r>
      <w:r w:rsidRPr="00F90420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fr-FR"/>
        </w:rPr>
        <w:t>après avoir mobilisé</w:t>
      </w:r>
      <w:r>
        <w:rPr>
          <w:rStyle w:val="lev"/>
          <w:rFonts w:asciiTheme="majorBidi" w:hAnsiTheme="majorBidi" w:cstheme="majorBidi"/>
          <w:sz w:val="28"/>
          <w:szCs w:val="28"/>
          <w:lang w:val="fr-FR"/>
        </w:rPr>
        <w:t xml:space="preserve"> : </w:t>
      </w:r>
    </w:p>
    <w:p w14:paraId="055957E1" w14:textId="0DD2F030" w:rsidR="00AD02C7" w:rsidRDefault="00F90420" w:rsidP="00AD02C7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i/>
          <w:iCs/>
          <w:sz w:val="28"/>
          <w:szCs w:val="28"/>
          <w:lang w:val="fr-FR"/>
        </w:rPr>
        <w:t xml:space="preserve">- </w:t>
      </w:r>
      <w:r w:rsidRPr="00F90420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La </w:t>
      </w:r>
      <w:r w:rsidRPr="00F90420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Base de connaissances</w:t>
      </w:r>
      <w:r w:rsidRPr="00F90420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Linguistiques, Extralinguistiques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Et après avoir procéder à une : </w:t>
      </w:r>
      <w:r w:rsidRPr="00F90420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Acquisition de connaissances ad hoc</w:t>
      </w:r>
      <w:r w:rsidRPr="00F90420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Linguistiques, Extralinguistiques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Et après </w:t>
      </w:r>
      <w:r w:rsidRPr="00F90420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la reformulation et le test d’acceptabilité et de fidélité.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5459EDFF" w14:textId="77777777" w:rsidR="00C712B5" w:rsidRDefault="00F90420" w:rsidP="00AD02C7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lastRenderedPageBreak/>
        <w:t xml:space="preserve">4.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On va donc relire l’énoncé en langue d’arrivée (la traduction) de manière critique en le soumettant à </w:t>
      </w:r>
      <w:r w:rsidRPr="00C712B5">
        <w:rPr>
          <w:rStyle w:val="tr"/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deux tests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: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Test d’acceptabilité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(éditoriale) :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Le texte est-il clair ?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Est-il agréable à lire ?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Contient-il éventuellement des informations secondaires qui nuisent à son acceptabilité ?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Correspond-il dans son langage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(termes, phraséologie)</w:t>
      </w:r>
      <w:r w:rsidRPr="00F9042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aux textes que lisent les destinataires dans leur langage </w:t>
      </w:r>
      <w:r w:rsidR="00C712B5" w:rsidRPr="00F90420">
        <w:rPr>
          <w:rStyle w:val="tr"/>
          <w:rFonts w:asciiTheme="majorBidi" w:hAnsiTheme="majorBidi" w:cstheme="majorBidi"/>
          <w:sz w:val="28"/>
          <w:szCs w:val="28"/>
          <w:lang w:val="fr-FR"/>
        </w:rPr>
        <w:t>habituel ?</w:t>
      </w:r>
      <w:r w:rsid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 </w:t>
      </w:r>
    </w:p>
    <w:p w14:paraId="70550806" w14:textId="1DEB7BC8" w:rsidR="00F90420" w:rsidRDefault="00C712B5" w:rsidP="00AD02C7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C712B5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Test de fidélité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: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Le texte est-il fidèle au message ?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Contient-il toutes les informations pertinentes et utiles ?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N’ajoute-t-il pas des informations « nuisibles » ?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- parce que trop explicites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- susceptibles de détourner du message l’attention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du lecteur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- parce qu’elles risquent de déformer le message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Ne pas oublier que dans le cadre des macro-fonctions du texte,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Chaque phrase a des micro-fonctions</w:t>
      </w:r>
      <w:r w:rsidRPr="00C712B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712B5">
        <w:rPr>
          <w:rStyle w:val="tr"/>
          <w:rFonts w:asciiTheme="majorBidi" w:hAnsiTheme="majorBidi" w:cstheme="majorBidi"/>
          <w:sz w:val="28"/>
          <w:szCs w:val="28"/>
          <w:lang w:val="fr-FR"/>
        </w:rPr>
        <w:t>Et juger en fonction de ces micro-fonctions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14:paraId="6DF86026" w14:textId="6522E24E" w:rsidR="00C712B5" w:rsidRPr="000619C5" w:rsidRDefault="00C712B5" w:rsidP="000619C5">
      <w:pPr>
        <w:pStyle w:val="Paragraphedeliste"/>
        <w:numPr>
          <w:ilvl w:val="0"/>
          <w:numId w:val="5"/>
        </w:num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Quand les résultats du test d’acceptabilité ou du test de fidélité </w:t>
      </w:r>
      <w:r w:rsidRPr="000619C5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ne sont pas satisfaisants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, retravailler l’énoncé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Attention : chaque changement pour raison éditoriale risque d’entraîner un changement côté fidélité et inversement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Il faut donc vérifier les deux chaque fois qu’un changement a été fait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Ce n’est que lorsque l’on a abouti à un </w:t>
      </w:r>
      <w:r w:rsidRPr="000619C5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résultat satisfaisant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619C5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côté fidélité et côté acceptabilité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que l’on passe à l’unité de traduction suivante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</w:p>
    <w:p w14:paraId="097B957F" w14:textId="36ED81D1" w:rsidR="000619C5" w:rsidRPr="005F264C" w:rsidRDefault="000619C5" w:rsidP="000619C5">
      <w:pPr>
        <w:rPr>
          <w:rStyle w:val="tr"/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5F264C">
        <w:rPr>
          <w:rStyle w:val="tr"/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La troisième étape : </w:t>
      </w:r>
    </w:p>
    <w:p w14:paraId="18345138" w14:textId="7F8831D5" w:rsidR="00C712B5" w:rsidRPr="000619C5" w:rsidRDefault="000619C5" w:rsidP="00AD02C7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619C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La vérification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sur</w:t>
      </w:r>
      <w:r w:rsidRPr="000619C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agrégat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s</w:t>
      </w:r>
      <w:r w:rsidRPr="000619C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 : 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Périodiquement, par exemple après un paragraphe, ou une page, et en tout état de cause une fois que l’on a traduit le texte entier, on refait une vérification de la fidélité et de l’acceptabilité.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F264C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Pourquoi vérifier la fidélité sur agrégats ?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Parce que l’on a pu ‘sauter’ par inadvertance une ligne, une phrase, un paragraphe, voire une page</w:t>
      </w:r>
      <w:r w:rsidR="005F264C"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0619C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5F264C"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>Parce qu’au</w:t>
      </w:r>
      <w:r w:rsidRPr="000619C5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 fil de la lecture et de la traduction, on a pu acquérir des connaissances qui permettent de réinterpréter un segment de texte qui avait été interprété une première fois sur la base de connaissances moins fournies</w:t>
      </w:r>
      <w:r w:rsidR="005F264C">
        <w:rPr>
          <w:rStyle w:val="tr"/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14:paraId="69DEA884" w14:textId="3BA8658C" w:rsidR="002B4F41" w:rsidRDefault="005F264C" w:rsidP="005F264C">
      <w:pPr>
        <w:rPr>
          <w:rStyle w:val="tr"/>
          <w:rFonts w:asciiTheme="majorBidi" w:hAnsiTheme="majorBidi" w:cstheme="majorBidi"/>
          <w:sz w:val="28"/>
          <w:szCs w:val="28"/>
          <w:lang w:val="fr-FR"/>
        </w:rPr>
      </w:pPr>
      <w:r w:rsidRPr="005F264C">
        <w:rPr>
          <w:rStyle w:val="tr"/>
          <w:rFonts w:asciiTheme="majorBidi" w:hAnsiTheme="majorBidi" w:cstheme="majorBidi"/>
          <w:b/>
          <w:bCs/>
          <w:sz w:val="28"/>
          <w:szCs w:val="28"/>
          <w:lang w:val="fr-FR"/>
        </w:rPr>
        <w:t>Pourquoi vérifier l’acceptabilité sur agrégats ?</w:t>
      </w:r>
      <w:r w:rsidRPr="005F264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F264C">
        <w:rPr>
          <w:rStyle w:val="tr"/>
          <w:rFonts w:asciiTheme="majorBidi" w:hAnsiTheme="majorBidi" w:cstheme="majorBidi"/>
          <w:sz w:val="28"/>
          <w:szCs w:val="28"/>
          <w:lang w:val="fr-FR"/>
        </w:rPr>
        <w:t>Parce qu’il arrive que l’on dérive dans la terminologie au fil du texte sans s’en apercevoir. Il faut revenir en arrière pour harmoniser</w:t>
      </w:r>
      <w:r>
        <w:rPr>
          <w:rStyle w:val="tr"/>
          <w:rFonts w:asciiTheme="majorBidi" w:hAnsiTheme="majorBidi" w:cstheme="majorBidi"/>
          <w:sz w:val="28"/>
          <w:szCs w:val="28"/>
          <w:lang w:val="fr-FR"/>
        </w:rPr>
        <w:t>.</w:t>
      </w:r>
      <w:r w:rsidRPr="005F264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F264C">
        <w:rPr>
          <w:rStyle w:val="tr"/>
          <w:rFonts w:asciiTheme="majorBidi" w:hAnsiTheme="majorBidi" w:cstheme="majorBidi"/>
          <w:sz w:val="28"/>
          <w:szCs w:val="28"/>
          <w:lang w:val="fr-FR"/>
        </w:rPr>
        <w:t>Parce que ce qui est acceptable isolément dans une unité de traduction ne l’est peut-être plus dans le flux d’un texte entier</w:t>
      </w:r>
      <w:r w:rsidRPr="005F264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5F264C">
        <w:rPr>
          <w:rStyle w:val="tr"/>
          <w:rFonts w:asciiTheme="majorBidi" w:hAnsiTheme="majorBidi" w:cstheme="majorBidi"/>
          <w:sz w:val="28"/>
          <w:szCs w:val="28"/>
          <w:lang w:val="fr-FR"/>
        </w:rPr>
        <w:t>(répétition, inélégance stylistique etc.)</w:t>
      </w:r>
    </w:p>
    <w:p w14:paraId="464C9043" w14:textId="77777777" w:rsidR="005F264C" w:rsidRPr="005F264C" w:rsidRDefault="005F264C" w:rsidP="005F264C">
      <w:pPr>
        <w:rPr>
          <w:rFonts w:asciiTheme="majorBidi" w:hAnsiTheme="majorBidi" w:cstheme="majorBidi"/>
          <w:sz w:val="28"/>
          <w:szCs w:val="28"/>
          <w:u w:val="single"/>
          <w:lang w:val="fr-FR" w:bidi="ar-DZ"/>
        </w:rPr>
      </w:pPr>
    </w:p>
    <w:sectPr w:rsidR="005F264C" w:rsidRPr="005F264C" w:rsidSect="009226B6">
      <w:pgSz w:w="11906" w:h="16838" w:code="9"/>
      <w:pgMar w:top="567" w:right="849" w:bottom="1134" w:left="1134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95F"/>
    <w:multiLevelType w:val="hybridMultilevel"/>
    <w:tmpl w:val="2E20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513B6"/>
    <w:multiLevelType w:val="hybridMultilevel"/>
    <w:tmpl w:val="EB7A3550"/>
    <w:lvl w:ilvl="0" w:tplc="33DE4D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61E9"/>
    <w:multiLevelType w:val="hybridMultilevel"/>
    <w:tmpl w:val="DC1EE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11C4"/>
    <w:multiLevelType w:val="hybridMultilevel"/>
    <w:tmpl w:val="9C9CA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0D1B"/>
    <w:multiLevelType w:val="hybridMultilevel"/>
    <w:tmpl w:val="36FA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68816">
    <w:abstractNumId w:val="2"/>
  </w:num>
  <w:num w:numId="2" w16cid:durableId="727067514">
    <w:abstractNumId w:val="4"/>
  </w:num>
  <w:num w:numId="3" w16cid:durableId="1340042884">
    <w:abstractNumId w:val="0"/>
  </w:num>
  <w:num w:numId="4" w16cid:durableId="762069890">
    <w:abstractNumId w:val="1"/>
  </w:num>
  <w:num w:numId="5" w16cid:durableId="70139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45"/>
    <w:rsid w:val="00044CFE"/>
    <w:rsid w:val="000619C5"/>
    <w:rsid w:val="000914FA"/>
    <w:rsid w:val="00201B6B"/>
    <w:rsid w:val="00212C32"/>
    <w:rsid w:val="002413F4"/>
    <w:rsid w:val="00250B0C"/>
    <w:rsid w:val="002B4F41"/>
    <w:rsid w:val="00346551"/>
    <w:rsid w:val="003B280E"/>
    <w:rsid w:val="00420DF5"/>
    <w:rsid w:val="00443736"/>
    <w:rsid w:val="00452051"/>
    <w:rsid w:val="0045628E"/>
    <w:rsid w:val="004E1C15"/>
    <w:rsid w:val="005B1571"/>
    <w:rsid w:val="005F264C"/>
    <w:rsid w:val="00637DF4"/>
    <w:rsid w:val="006D6208"/>
    <w:rsid w:val="006F07C7"/>
    <w:rsid w:val="0072171D"/>
    <w:rsid w:val="00795753"/>
    <w:rsid w:val="007C61DB"/>
    <w:rsid w:val="008B3B5A"/>
    <w:rsid w:val="008E174E"/>
    <w:rsid w:val="009226B6"/>
    <w:rsid w:val="00925ADB"/>
    <w:rsid w:val="00A76B40"/>
    <w:rsid w:val="00AA3FF1"/>
    <w:rsid w:val="00AD02C7"/>
    <w:rsid w:val="00B15145"/>
    <w:rsid w:val="00B73B43"/>
    <w:rsid w:val="00BB1E0A"/>
    <w:rsid w:val="00C6509A"/>
    <w:rsid w:val="00C712B5"/>
    <w:rsid w:val="00C83CD1"/>
    <w:rsid w:val="00D1537B"/>
    <w:rsid w:val="00D17AAE"/>
    <w:rsid w:val="00D2098E"/>
    <w:rsid w:val="00E058B0"/>
    <w:rsid w:val="00E443E4"/>
    <w:rsid w:val="00E570D2"/>
    <w:rsid w:val="00EB27E9"/>
    <w:rsid w:val="00EC1977"/>
    <w:rsid w:val="00F56CD6"/>
    <w:rsid w:val="00F90420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42CB"/>
  <w15:chartTrackingRefBased/>
  <w15:docId w15:val="{5E9B2694-65A5-4C0F-9E53-D748E1F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B6"/>
    <w:pPr>
      <w:bidi w:val="0"/>
      <w:spacing w:after="120" w:line="276" w:lineRule="auto"/>
      <w:ind w:firstLine="0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98E"/>
    <w:pPr>
      <w:ind w:left="720"/>
      <w:contextualSpacing/>
    </w:pPr>
  </w:style>
  <w:style w:type="character" w:customStyle="1" w:styleId="tr">
    <w:name w:val="tr"/>
    <w:basedOn w:val="Policepardfaut"/>
    <w:rsid w:val="00C83CD1"/>
  </w:style>
  <w:style w:type="character" w:styleId="lev">
    <w:name w:val="Strong"/>
    <w:basedOn w:val="Policepardfaut"/>
    <w:uiPriority w:val="22"/>
    <w:qFormat/>
    <w:rsid w:val="006D6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1083</Words>
  <Characters>5958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</dc:creator>
  <cp:keywords/>
  <dc:description/>
  <cp:lastModifiedBy>Abdelhafid Taibi</cp:lastModifiedBy>
  <cp:revision>33</cp:revision>
  <dcterms:created xsi:type="dcterms:W3CDTF">2021-02-09T13:31:00Z</dcterms:created>
  <dcterms:modified xsi:type="dcterms:W3CDTF">2022-04-16T14:25:00Z</dcterms:modified>
</cp:coreProperties>
</file>