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7" w:rsidRPr="00751DB0" w:rsidRDefault="00950D29" w:rsidP="00950D29">
      <w:pPr>
        <w:bidi/>
        <w:rPr>
          <w:rFonts w:hint="cs"/>
          <w:b/>
          <w:bCs/>
          <w:sz w:val="44"/>
          <w:szCs w:val="44"/>
          <w:rtl/>
          <w:lang w:bidi="ar-DZ"/>
        </w:rPr>
      </w:pP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proofErr w:type="spellStart"/>
      <w:r w:rsidRPr="00751DB0">
        <w:rPr>
          <w:rFonts w:hint="cs"/>
          <w:b/>
          <w:bCs/>
          <w:sz w:val="44"/>
          <w:szCs w:val="44"/>
          <w:rtl/>
          <w:lang w:bidi="ar-DZ"/>
        </w:rPr>
        <w:t>الفينومينولوجيا</w:t>
      </w:r>
      <w:proofErr w:type="spellEnd"/>
      <w:r w:rsidRPr="00751DB0">
        <w:rPr>
          <w:rFonts w:hint="cs"/>
          <w:b/>
          <w:bCs/>
          <w:sz w:val="44"/>
          <w:szCs w:val="44"/>
          <w:rtl/>
          <w:lang w:bidi="ar-DZ"/>
        </w:rPr>
        <w:t xml:space="preserve">  </w:t>
      </w:r>
      <w:proofErr w:type="spellStart"/>
      <w:r w:rsidRPr="00751DB0">
        <w:rPr>
          <w:rFonts w:hint="cs"/>
          <w:b/>
          <w:bCs/>
          <w:sz w:val="44"/>
          <w:szCs w:val="44"/>
          <w:rtl/>
          <w:lang w:bidi="ar-DZ"/>
        </w:rPr>
        <w:t>الترانساندنتالية</w:t>
      </w:r>
      <w:proofErr w:type="spellEnd"/>
    </w:p>
    <w:p w:rsidR="003A6288" w:rsidRDefault="003A6288" w:rsidP="003A6288">
      <w:pPr>
        <w:bidi/>
        <w:rPr>
          <w:rFonts w:hint="cs"/>
          <w:sz w:val="44"/>
          <w:szCs w:val="44"/>
          <w:rtl/>
          <w:lang w:bidi="ar-DZ"/>
        </w:rPr>
      </w:pPr>
    </w:p>
    <w:p w:rsidR="00950D29" w:rsidRPr="00751DB0" w:rsidRDefault="00950D29" w:rsidP="00950D29">
      <w:pPr>
        <w:bidi/>
        <w:ind w:left="708"/>
        <w:rPr>
          <w:rFonts w:hint="cs"/>
          <w:sz w:val="44"/>
          <w:szCs w:val="44"/>
          <w:rtl/>
          <w:lang w:bidi="ar-DZ"/>
        </w:rPr>
      </w:pPr>
      <w:proofErr w:type="spellStart"/>
      <w:r w:rsidRPr="00751DB0">
        <w:rPr>
          <w:rFonts w:hint="cs"/>
          <w:sz w:val="44"/>
          <w:szCs w:val="44"/>
          <w:rtl/>
          <w:lang w:bidi="ar-DZ"/>
        </w:rPr>
        <w:t>المحايث</w:t>
      </w:r>
      <w:proofErr w:type="spellEnd"/>
      <w:r w:rsidRPr="00751DB0">
        <w:rPr>
          <w:rFonts w:hint="cs"/>
          <w:sz w:val="44"/>
          <w:szCs w:val="44"/>
          <w:rtl/>
          <w:lang w:bidi="ar-DZ"/>
        </w:rPr>
        <w:t>/المفارق</w:t>
      </w:r>
    </w:p>
    <w:p w:rsidR="003A6288" w:rsidRDefault="003A6288" w:rsidP="003A6288">
      <w:pPr>
        <w:bidi/>
        <w:ind w:left="708"/>
        <w:rPr>
          <w:rFonts w:hint="cs"/>
          <w:sz w:val="28"/>
          <w:szCs w:val="28"/>
          <w:rtl/>
          <w:lang w:bidi="ar-DZ"/>
        </w:rPr>
      </w:pPr>
    </w:p>
    <w:p w:rsidR="00950D29" w:rsidRPr="00751DB0" w:rsidRDefault="00950D29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  <w:lang w:bidi="ar-DZ"/>
        </w:rPr>
      </w:pPr>
      <w:proofErr w:type="spellStart"/>
      <w:r w:rsidRPr="00751DB0">
        <w:rPr>
          <w:rFonts w:ascii="Arial" w:hAnsi="Arial" w:cs="Arial"/>
          <w:sz w:val="36"/>
          <w:szCs w:val="36"/>
        </w:rPr>
        <w:t>Einfühlung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هذا المصطلح يتكون من جزئيتين لغويتين هما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: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/>
          <w:sz w:val="36"/>
          <w:szCs w:val="36"/>
        </w:rPr>
        <w:t>fuhlung</w:t>
      </w:r>
      <w:proofErr w:type="spellEnd"/>
      <w:r w:rsidRPr="00751DB0">
        <w:rPr>
          <w:rFonts w:ascii="Arial" w:hAnsi="Arial" w:cs="Arial"/>
          <w:sz w:val="36"/>
          <w:szCs w:val="36"/>
        </w:rPr>
        <w:t xml:space="preserve"> </w:t>
      </w:r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و التي تعني ما يتشكل و ما يبقى من شعور 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واحساس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لما تتركه العاطفة أو الانفعال في الذات. </w:t>
      </w:r>
    </w:p>
    <w:p w:rsidR="00950D29" w:rsidRPr="00751DB0" w:rsidRDefault="00950D29" w:rsidP="00950D2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  <w:lang w:bidi="ar-DZ"/>
        </w:rPr>
      </w:pPr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و </w:t>
      </w:r>
      <w:proofErr w:type="spellStart"/>
      <w:r w:rsidRPr="00751DB0">
        <w:rPr>
          <w:rFonts w:ascii="Arial" w:hAnsi="Arial" w:cs="Arial"/>
          <w:sz w:val="36"/>
          <w:szCs w:val="36"/>
          <w:lang w:bidi="ar-DZ"/>
        </w:rPr>
        <w:t>ein</w:t>
      </w:r>
      <w:proofErr w:type="spellEnd"/>
      <w:r w:rsidRPr="00751DB0">
        <w:rPr>
          <w:rFonts w:ascii="Arial" w:hAnsi="Arial" w:cs="Arial"/>
          <w:sz w:val="36"/>
          <w:szCs w:val="36"/>
          <w:lang w:bidi="ar-DZ"/>
        </w:rPr>
        <w:t xml:space="preserve"> </w:t>
      </w:r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التي تعني الولوج الى او النفاذ الى.</w:t>
      </w:r>
    </w:p>
    <w:p w:rsidR="003A6288" w:rsidRPr="00751DB0" w:rsidRDefault="003A6288" w:rsidP="00751DB0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Arial" w:hAnsi="Arial" w:cs="Arial" w:hint="cs"/>
          <w:sz w:val="36"/>
          <w:szCs w:val="36"/>
          <w:rtl/>
          <w:lang w:bidi="ar-DZ"/>
        </w:rPr>
      </w:pP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  <w:lang w:bidi="ar-DZ"/>
        </w:rPr>
      </w:pPr>
    </w:p>
    <w:p w:rsidR="00950D29" w:rsidRPr="00751DB0" w:rsidRDefault="00950D29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  <w:lang w:bidi="ar-DZ"/>
        </w:rPr>
      </w:pP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أستعملت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هذه اللفظة أول مرة عند </w:t>
      </w:r>
      <w:proofErr w:type="spellStart"/>
      <w:r w:rsidRPr="00751DB0">
        <w:rPr>
          <w:rFonts w:ascii="Arial" w:hAnsi="Arial" w:cs="Arial"/>
          <w:sz w:val="36"/>
          <w:szCs w:val="36"/>
          <w:lang w:bidi="ar-DZ"/>
        </w:rPr>
        <w:t>meinong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في 1902 في كتابه </w:t>
      </w:r>
      <w:r w:rsidR="003A6288" w:rsidRPr="00751DB0">
        <w:rPr>
          <w:rFonts w:ascii="Arial" w:hAnsi="Arial" w:cs="Arial" w:hint="cs"/>
          <w:sz w:val="36"/>
          <w:szCs w:val="36"/>
          <w:rtl/>
          <w:lang w:bidi="ar-DZ"/>
        </w:rPr>
        <w:t>"</w:t>
      </w:r>
      <w:r w:rsidRPr="00751DB0">
        <w:rPr>
          <w:rFonts w:ascii="Arial" w:hAnsi="Arial" w:cs="Arial" w:hint="cs"/>
          <w:sz w:val="36"/>
          <w:szCs w:val="36"/>
          <w:rtl/>
          <w:lang w:bidi="ar-DZ"/>
        </w:rPr>
        <w:t>الفروض من وجهة نظر فنية</w:t>
      </w:r>
      <w:r w:rsidR="003A6288" w:rsidRPr="00751DB0">
        <w:rPr>
          <w:rFonts w:ascii="Arial" w:hAnsi="Arial" w:cs="Arial" w:hint="cs"/>
          <w:sz w:val="36"/>
          <w:szCs w:val="36"/>
          <w:rtl/>
          <w:lang w:bidi="ar-DZ"/>
        </w:rPr>
        <w:t>"</w:t>
      </w:r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</w:p>
    <w:p w:rsidR="00950D29" w:rsidRPr="00751DB0" w:rsidRDefault="00950D29" w:rsidP="00950D2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  <w:lang w:bidi="ar-DZ"/>
        </w:rPr>
      </w:pPr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واستعملها 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هسرل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في 1905 لتعني النظرية المتعالية (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الترانساندانتالية)</w:t>
      </w:r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>,</w:t>
      </w:r>
      <w:proofErr w:type="spellEnd"/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للعالم الموضوعي وفق الطبيعة الموضوعية ليعبر عن التجربة المعيشة للذات عندما تتوجه قاصدة الموضوع لأجل بناء المعنى حيث يكون في هذا المستوى في العلاقة المتبادلة بين الذوات </w:t>
      </w:r>
      <w:proofErr w:type="spellStart"/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>التذاوتية</w:t>
      </w:r>
      <w:proofErr w:type="spellEnd"/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تكون فيه المجالات </w:t>
      </w:r>
      <w:proofErr w:type="spellStart"/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>القصدية</w:t>
      </w:r>
      <w:proofErr w:type="spellEnd"/>
      <w:r w:rsidR="000F466F"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منفتحة.</w:t>
      </w:r>
    </w:p>
    <w:p w:rsidR="000F466F" w:rsidRPr="00751DB0" w:rsidRDefault="000F466F" w:rsidP="000F466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  <w:lang w:bidi="ar-DZ"/>
        </w:rPr>
        <w:t>و اذ لا يمكن الفهم أو معرفة حقيقة (الأخر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)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الذات حينما 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تكوة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في ذاتها أي في صيغتها الموضوعية ولا يتحقق هذا المطلب </w:t>
      </w:r>
      <w:proofErr w:type="spellStart"/>
      <w:r w:rsidRPr="00751DB0">
        <w:rPr>
          <w:rFonts w:ascii="Arial" w:hAnsi="Arial" w:cs="Arial" w:hint="cs"/>
          <w:sz w:val="36"/>
          <w:szCs w:val="36"/>
          <w:rtl/>
          <w:lang w:bidi="ar-DZ"/>
        </w:rPr>
        <w:t>الا</w:t>
      </w:r>
      <w:proofErr w:type="spellEnd"/>
      <w:r w:rsidRPr="00751DB0">
        <w:rPr>
          <w:rFonts w:ascii="Arial" w:hAnsi="Arial" w:cs="Arial" w:hint="cs"/>
          <w:sz w:val="36"/>
          <w:szCs w:val="36"/>
          <w:rtl/>
          <w:lang w:bidi="ar-DZ"/>
        </w:rPr>
        <w:t xml:space="preserve"> عند حالة التجربة المعيشة أي من خلال </w:t>
      </w:r>
      <w:proofErr w:type="spellStart"/>
      <w:r w:rsidRPr="00751DB0">
        <w:rPr>
          <w:rFonts w:ascii="Arial" w:hAnsi="Arial" w:cs="Arial"/>
          <w:sz w:val="36"/>
          <w:szCs w:val="36"/>
        </w:rPr>
        <w:t>Einfühlung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>.</w:t>
      </w:r>
    </w:p>
    <w:p w:rsidR="000F466F" w:rsidRPr="00751DB0" w:rsidRDefault="000F466F" w:rsidP="000F466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لقد أنشأ استعمال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هسرل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لهذا المصطلح اشكالية نوعية حيث أصبح يشغل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مفهوم-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الأخر-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(الذات/المغاير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)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مكانة رئيسية في الحقول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الابيستمية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و المعرفية و العلمية.</w:t>
      </w: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0F466F" w:rsidRPr="00751DB0" w:rsidRDefault="000F466F" w:rsidP="000F466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>حيث يشكل الأنا أو الذات المغايرة معطى معرفيا موضوعيا يقدمه الشعور الناتج عن تبادل الذات لتجربة المعايش</w:t>
      </w:r>
      <w:r w:rsidR="00FB486A" w:rsidRPr="00751DB0">
        <w:rPr>
          <w:rFonts w:ascii="Arial" w:hAnsi="Arial" w:cs="Arial" w:hint="cs"/>
          <w:sz w:val="36"/>
          <w:szCs w:val="36"/>
          <w:rtl/>
        </w:rPr>
        <w:t xml:space="preserve"> بينها و بين الأنا المغايرة و هي تجربة شعورية خاصة و فردية و مستدامة </w:t>
      </w: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950D29" w:rsidRPr="00751DB0" w:rsidRDefault="00FB486A" w:rsidP="00FB486A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lastRenderedPageBreak/>
        <w:tab/>
      </w:r>
      <w:r w:rsidRPr="00751DB0">
        <w:rPr>
          <w:rFonts w:ascii="Arial" w:hAnsi="Arial" w:cs="Arial" w:hint="cs"/>
          <w:sz w:val="36"/>
          <w:szCs w:val="36"/>
          <w:rtl/>
        </w:rPr>
        <w:tab/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يقول:"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انها بالنسبة للطفولة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الفلسفية,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الدروب المظلمة التي ينبعث من أركانها أشباح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الفردانية".</w:t>
      </w:r>
      <w:proofErr w:type="spellEnd"/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FB486A" w:rsidRPr="00751DB0" w:rsidRDefault="00FB486A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لكن و </w:t>
      </w:r>
      <w:r w:rsidR="003A6288" w:rsidRPr="00751DB0">
        <w:rPr>
          <w:rFonts w:ascii="Arial" w:hAnsi="Arial" w:cs="Arial" w:hint="cs"/>
          <w:sz w:val="36"/>
          <w:szCs w:val="36"/>
          <w:rtl/>
        </w:rPr>
        <w:t>ب</w:t>
      </w:r>
      <w:r w:rsidRPr="00751DB0">
        <w:rPr>
          <w:rFonts w:ascii="Arial" w:hAnsi="Arial" w:cs="Arial" w:hint="cs"/>
          <w:sz w:val="36"/>
          <w:szCs w:val="36"/>
          <w:rtl/>
        </w:rPr>
        <w:t xml:space="preserve">سبب </w:t>
      </w:r>
      <w:r w:rsidR="003A6288" w:rsidRPr="00751DB0">
        <w:rPr>
          <w:rFonts w:ascii="Arial" w:hAnsi="Arial" w:cs="Arial" w:hint="cs"/>
          <w:sz w:val="36"/>
          <w:szCs w:val="36"/>
          <w:rtl/>
        </w:rPr>
        <w:t>السمة الراديكالية التي طبعت</w:t>
      </w:r>
      <w:r w:rsidRPr="00751DB0">
        <w:rPr>
          <w:rFonts w:ascii="Arial" w:hAnsi="Arial" w:cs="Arial" w:hint="cs"/>
          <w:sz w:val="36"/>
          <w:szCs w:val="36"/>
          <w:rtl/>
        </w:rPr>
        <w:t xml:space="preserve"> المنهجية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الردية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جعلها تصطدم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في الأوساط العلمية عموما بنفور العلماء منها و بجهل أطبق بظلامه على أذهانهم الى يومنا هذا.</w:t>
      </w: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</w:p>
    <w:p w:rsidR="00FB486A" w:rsidRPr="00751DB0" w:rsidRDefault="00FB486A" w:rsidP="00FB486A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يعد المبنى الفكري للذات </w:t>
      </w:r>
      <w:r w:rsidR="003A6288" w:rsidRPr="00751DB0">
        <w:rPr>
          <w:rFonts w:ascii="Arial" w:hAnsi="Arial" w:cs="Arial"/>
          <w:sz w:val="36"/>
          <w:szCs w:val="36"/>
          <w:rtl/>
        </w:rPr>
        <w:t>–</w:t>
      </w:r>
      <w:r w:rsidRPr="00751DB0">
        <w:rPr>
          <w:rFonts w:ascii="Arial" w:hAnsi="Arial" w:cs="Arial" w:hint="cs"/>
          <w:sz w:val="36"/>
          <w:szCs w:val="36"/>
          <w:rtl/>
        </w:rPr>
        <w:t xml:space="preserve">كأخر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مغاير</w:t>
      </w:r>
      <w:r w:rsidR="003A6288" w:rsidRPr="00751DB0">
        <w:rPr>
          <w:rFonts w:ascii="Arial" w:hAnsi="Arial" w:cs="Arial" w:hint="cs"/>
          <w:sz w:val="36"/>
          <w:szCs w:val="36"/>
          <w:rtl/>
        </w:rPr>
        <w:t>-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بمثابة حقل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مفهوماتي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يطلق عليه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هسرل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مصطلح</w:t>
      </w:r>
      <w:r w:rsidR="003A6288"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="003A6288" w:rsidRPr="00751DB0">
        <w:rPr>
          <w:rFonts w:ascii="Arial" w:hAnsi="Arial" w:cs="Arial" w:hint="cs"/>
          <w:sz w:val="36"/>
          <w:szCs w:val="36"/>
          <w:rtl/>
        </w:rPr>
        <w:t>"</w:t>
      </w:r>
      <w:proofErr w:type="spellEnd"/>
      <w:r w:rsidR="003A6288" w:rsidRPr="00751DB0">
        <w:rPr>
          <w:rFonts w:ascii="Arial" w:hAnsi="Arial" w:cs="Arial" w:hint="cs"/>
          <w:sz w:val="36"/>
          <w:szCs w:val="36"/>
          <w:rtl/>
        </w:rPr>
        <w:t xml:space="preserve"> </w:t>
      </w:r>
      <w:r w:rsidR="0097647E" w:rsidRPr="00751DB0">
        <w:rPr>
          <w:rFonts w:ascii="Arial" w:hAnsi="Arial" w:cs="Arial" w:hint="cs"/>
          <w:sz w:val="36"/>
          <w:szCs w:val="36"/>
          <w:rtl/>
        </w:rPr>
        <w:t>مجتمع المناداة</w:t>
      </w:r>
      <w:r w:rsidR="003A6288"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="003A6288" w:rsidRPr="00751DB0">
        <w:rPr>
          <w:rFonts w:ascii="Arial" w:hAnsi="Arial" w:cs="Arial" w:hint="cs"/>
          <w:sz w:val="36"/>
          <w:szCs w:val="36"/>
          <w:rtl/>
        </w:rPr>
        <w:t>"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بحيث يشملها شكل من أشكال الموضوعية و التي يطلق عليها اسم الطبيعة الذاتية المتبادلة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أو</w:t>
      </w:r>
      <w:r w:rsidR="003A6288" w:rsidRPr="00751DB0">
        <w:rPr>
          <w:rFonts w:ascii="Arial" w:hAnsi="Arial" w:cs="Arial" w:hint="cs"/>
          <w:sz w:val="36"/>
          <w:szCs w:val="36"/>
          <w:rtl/>
        </w:rPr>
        <w:t>"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الطبيعة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التذاوتية</w:t>
      </w:r>
      <w:r w:rsidR="003A6288" w:rsidRPr="00751DB0">
        <w:rPr>
          <w:rFonts w:ascii="Arial" w:hAnsi="Arial" w:cs="Arial" w:hint="cs"/>
          <w:sz w:val="36"/>
          <w:szCs w:val="36"/>
          <w:rtl/>
        </w:rPr>
        <w:t>"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و التي من شأنها أن تتحقق بفعل التعالي حيث تنفتح و تتطلع لاحتواء ذوات الأخرى مغايرة تبادلها التجربة المعيشة.</w:t>
      </w:r>
    </w:p>
    <w:p w:rsidR="00FB486A" w:rsidRPr="00751DB0" w:rsidRDefault="00FB486A" w:rsidP="00FB486A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>وي</w:t>
      </w:r>
      <w:r w:rsidR="009E1133" w:rsidRPr="00751DB0">
        <w:rPr>
          <w:rFonts w:ascii="Arial" w:hAnsi="Arial" w:cs="Arial" w:hint="cs"/>
          <w:sz w:val="36"/>
          <w:szCs w:val="36"/>
          <w:rtl/>
        </w:rPr>
        <w:t>مكن تلخيص هذه التجربة الذاتية في</w:t>
      </w:r>
      <w:r w:rsidRPr="00751DB0">
        <w:rPr>
          <w:rFonts w:ascii="Arial" w:hAnsi="Arial" w:cs="Arial" w:hint="cs"/>
          <w:sz w:val="36"/>
          <w:szCs w:val="36"/>
          <w:rtl/>
        </w:rPr>
        <w:t xml:space="preserve"> معايشة تجربة ذاتية معطاة في شكلها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الصوراني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المحض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المحايث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لها الذي تنبثق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منه,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r w:rsidR="009E1133" w:rsidRPr="00751DB0">
        <w:rPr>
          <w:rFonts w:ascii="Arial" w:hAnsi="Arial" w:cs="Arial" w:hint="cs"/>
          <w:sz w:val="36"/>
          <w:szCs w:val="36"/>
          <w:rtl/>
        </w:rPr>
        <w:t xml:space="preserve">وليس الأمر يتعلق في هذا المستوى </w:t>
      </w:r>
      <w:proofErr w:type="spellStart"/>
      <w:r w:rsidR="009E1133" w:rsidRPr="00751DB0">
        <w:rPr>
          <w:rFonts w:ascii="Arial" w:hAnsi="Arial" w:cs="Arial" w:hint="cs"/>
          <w:sz w:val="36"/>
          <w:szCs w:val="36"/>
          <w:rtl/>
        </w:rPr>
        <w:t>بالاحساسات</w:t>
      </w:r>
      <w:proofErr w:type="spellEnd"/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أو العواطف التي تتقاسمها الأنات كتفاعل فيما بينها كما هو الحال في </w:t>
      </w:r>
      <w:proofErr w:type="spellStart"/>
      <w:r w:rsidR="009E1133" w:rsidRPr="00751DB0">
        <w:rPr>
          <w:rFonts w:ascii="Arial" w:hAnsi="Arial" w:cs="Arial" w:hint="cs"/>
          <w:sz w:val="36"/>
          <w:szCs w:val="36"/>
          <w:rtl/>
        </w:rPr>
        <w:t>السيكولوجيا</w:t>
      </w:r>
      <w:proofErr w:type="spellEnd"/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="009E1133" w:rsidRPr="00751DB0">
        <w:rPr>
          <w:rFonts w:ascii="Arial" w:hAnsi="Arial" w:cs="Arial" w:hint="cs"/>
          <w:sz w:val="36"/>
          <w:szCs w:val="36"/>
          <w:rtl/>
        </w:rPr>
        <w:t>عموما</w:t>
      </w:r>
      <w:r w:rsidR="003A6288" w:rsidRPr="00751DB0">
        <w:rPr>
          <w:rFonts w:ascii="Arial" w:hAnsi="Arial" w:cs="Arial" w:hint="cs"/>
          <w:sz w:val="36"/>
          <w:szCs w:val="36"/>
          <w:rtl/>
        </w:rPr>
        <w:t>,</w:t>
      </w:r>
      <w:proofErr w:type="spellEnd"/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بل الأمر هنا يتعداه الى مستوى معرفي </w:t>
      </w:r>
      <w:proofErr w:type="spellStart"/>
      <w:r w:rsidR="009E1133" w:rsidRPr="00751DB0">
        <w:rPr>
          <w:rFonts w:ascii="Arial" w:hAnsi="Arial" w:cs="Arial" w:hint="cs"/>
          <w:sz w:val="36"/>
          <w:szCs w:val="36"/>
          <w:rtl/>
        </w:rPr>
        <w:t>ابستيمي</w:t>
      </w:r>
      <w:proofErr w:type="spellEnd"/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و</w:t>
      </w:r>
      <w:r w:rsidR="003A6288" w:rsidRPr="00751DB0">
        <w:rPr>
          <w:rFonts w:ascii="Arial" w:hAnsi="Arial" w:cs="Arial" w:hint="cs"/>
          <w:sz w:val="36"/>
          <w:szCs w:val="36"/>
          <w:rtl/>
        </w:rPr>
        <w:t>لعل التصنيف المنطقي الصوري</w:t>
      </w:r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للتجربة المعيشة </w:t>
      </w:r>
      <w:proofErr w:type="spellStart"/>
      <w:r w:rsidR="009E1133" w:rsidRPr="00751DB0">
        <w:rPr>
          <w:rFonts w:ascii="Arial" w:hAnsi="Arial" w:cs="Arial"/>
          <w:sz w:val="36"/>
          <w:szCs w:val="36"/>
        </w:rPr>
        <w:t>Einfühlung</w:t>
      </w:r>
      <w:proofErr w:type="spellEnd"/>
      <w:r w:rsidR="009E1133" w:rsidRPr="00751DB0">
        <w:rPr>
          <w:rFonts w:ascii="Arial" w:hAnsi="Arial" w:cs="Arial" w:hint="cs"/>
          <w:sz w:val="36"/>
          <w:szCs w:val="36"/>
          <w:rtl/>
        </w:rPr>
        <w:t xml:space="preserve"> يبين هذا:</w:t>
      </w:r>
    </w:p>
    <w:p w:rsidR="009E1133" w:rsidRPr="00751DB0" w:rsidRDefault="009E1133" w:rsidP="009E113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المفهوم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التصوراني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=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المتصور</w:t>
      </w:r>
    </w:p>
    <w:p w:rsidR="009E1133" w:rsidRPr="00751DB0" w:rsidRDefault="009E1133" w:rsidP="009E113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المفهوم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الخيلاني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=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المخيال</w:t>
      </w:r>
      <w:proofErr w:type="spellEnd"/>
    </w:p>
    <w:p w:rsidR="009E1133" w:rsidRPr="00751DB0" w:rsidRDefault="009E1133" w:rsidP="009E113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36"/>
          <w:szCs w:val="36"/>
          <w:rtl/>
        </w:rPr>
      </w:pPr>
      <w:r w:rsidRPr="00751DB0">
        <w:rPr>
          <w:rFonts w:ascii="Arial" w:hAnsi="Arial" w:cs="Arial" w:hint="cs"/>
          <w:sz w:val="36"/>
          <w:szCs w:val="36"/>
          <w:rtl/>
        </w:rPr>
        <w:t xml:space="preserve">المفهوم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العلامائي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=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العلامة (الرمز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)</w:t>
      </w:r>
      <w:r w:rsidR="003A6288" w:rsidRPr="00751DB0">
        <w:rPr>
          <w:rFonts w:ascii="Arial" w:hAnsi="Arial" w:cs="Arial" w:hint="cs"/>
          <w:sz w:val="36"/>
          <w:szCs w:val="36"/>
          <w:rtl/>
        </w:rPr>
        <w:t>.</w:t>
      </w:r>
      <w:proofErr w:type="spellEnd"/>
    </w:p>
    <w:p w:rsidR="00950D29" w:rsidRPr="00751DB0" w:rsidRDefault="009E1133" w:rsidP="009E1133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36"/>
          <w:szCs w:val="36"/>
          <w:rtl/>
          <w:lang w:bidi="ar-DZ"/>
        </w:rPr>
      </w:pPr>
      <w:r w:rsidRPr="00751DB0">
        <w:rPr>
          <w:rFonts w:ascii="Arial" w:hAnsi="Arial" w:cs="Arial" w:hint="cs"/>
          <w:sz w:val="36"/>
          <w:szCs w:val="36"/>
          <w:rtl/>
        </w:rPr>
        <w:t>التجربة المعيشة اذ</w:t>
      </w:r>
      <w:r w:rsidR="003A6288" w:rsidRPr="00751DB0">
        <w:rPr>
          <w:rFonts w:ascii="Arial" w:hAnsi="Arial" w:cs="Arial" w:hint="cs"/>
          <w:sz w:val="36"/>
          <w:szCs w:val="36"/>
          <w:rtl/>
        </w:rPr>
        <w:t>ن</w:t>
      </w:r>
      <w:r w:rsidRPr="00751DB0">
        <w:rPr>
          <w:rFonts w:ascii="Arial" w:hAnsi="Arial" w:cs="Arial" w:hint="cs"/>
          <w:sz w:val="36"/>
          <w:szCs w:val="36"/>
          <w:rtl/>
        </w:rPr>
        <w:t xml:space="preserve"> ليست تتوقف عند البقاء في انحاء الذات المحاطة بشعور ينبثق من العاطفة كسيل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متدفق,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وانما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هي الوجه و القصد</w:t>
      </w:r>
      <w:r w:rsidR="003A6288" w:rsidRPr="00751DB0">
        <w:rPr>
          <w:rFonts w:ascii="Arial" w:hAnsi="Arial" w:cs="Arial" w:hint="cs"/>
          <w:sz w:val="36"/>
          <w:szCs w:val="36"/>
          <w:rtl/>
        </w:rPr>
        <w:t xml:space="preserve"> الذي يبدأ</w:t>
      </w:r>
      <w:r w:rsidRPr="00751DB0">
        <w:rPr>
          <w:rFonts w:hint="cs"/>
          <w:sz w:val="36"/>
          <w:szCs w:val="36"/>
          <w:rtl/>
          <w:lang w:bidi="ar-DZ"/>
        </w:rPr>
        <w:t xml:space="preserve"> من السمة </w:t>
      </w:r>
      <w:proofErr w:type="spellStart"/>
      <w:r w:rsidRPr="00751DB0">
        <w:rPr>
          <w:rFonts w:hint="cs"/>
          <w:sz w:val="36"/>
          <w:szCs w:val="36"/>
          <w:rtl/>
          <w:lang w:bidi="ar-DZ"/>
        </w:rPr>
        <w:t>التصورائية</w:t>
      </w:r>
      <w:proofErr w:type="spellEnd"/>
      <w:r w:rsidRPr="00751DB0">
        <w:rPr>
          <w:rFonts w:hint="cs"/>
          <w:sz w:val="36"/>
          <w:szCs w:val="36"/>
          <w:rtl/>
          <w:lang w:bidi="ar-DZ"/>
        </w:rPr>
        <w:t xml:space="preserve"> وصولا الى السمة </w:t>
      </w:r>
      <w:proofErr w:type="spellStart"/>
      <w:r w:rsidRPr="00751DB0">
        <w:rPr>
          <w:rFonts w:hint="cs"/>
          <w:sz w:val="36"/>
          <w:szCs w:val="36"/>
          <w:rtl/>
          <w:lang w:bidi="ar-DZ"/>
        </w:rPr>
        <w:t>العلامائية</w:t>
      </w:r>
      <w:proofErr w:type="spellEnd"/>
      <w:r w:rsidRPr="00751DB0">
        <w:rPr>
          <w:rFonts w:hint="cs"/>
          <w:sz w:val="36"/>
          <w:szCs w:val="36"/>
          <w:rtl/>
          <w:lang w:bidi="ar-DZ"/>
        </w:rPr>
        <w:t xml:space="preserve"> بعد المرور بالسمة </w:t>
      </w:r>
      <w:proofErr w:type="spellStart"/>
      <w:r w:rsidRPr="00751DB0">
        <w:rPr>
          <w:rFonts w:hint="cs"/>
          <w:sz w:val="36"/>
          <w:szCs w:val="36"/>
          <w:rtl/>
          <w:lang w:bidi="ar-DZ"/>
        </w:rPr>
        <w:t>الخيالانية</w:t>
      </w:r>
      <w:proofErr w:type="spellEnd"/>
      <w:r w:rsidRPr="00751DB0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751DB0">
        <w:rPr>
          <w:rFonts w:hint="cs"/>
          <w:sz w:val="36"/>
          <w:szCs w:val="36"/>
          <w:rtl/>
          <w:lang w:bidi="ar-DZ"/>
        </w:rPr>
        <w:t>,</w:t>
      </w:r>
      <w:proofErr w:type="spellEnd"/>
      <w:r w:rsidRPr="00751DB0">
        <w:rPr>
          <w:rFonts w:hint="cs"/>
          <w:sz w:val="36"/>
          <w:szCs w:val="36"/>
          <w:rtl/>
          <w:lang w:bidi="ar-DZ"/>
        </w:rPr>
        <w:t xml:space="preserve"> هذه هي الرحلة</w:t>
      </w:r>
      <w:r w:rsidR="003A6288" w:rsidRPr="00751DB0">
        <w:rPr>
          <w:rFonts w:hint="cs"/>
          <w:sz w:val="36"/>
          <w:szCs w:val="36"/>
          <w:rtl/>
          <w:lang w:bidi="ar-DZ"/>
        </w:rPr>
        <w:t xml:space="preserve"> التي تطبع التجربة المعيشة للأنا</w:t>
      </w:r>
      <w:r w:rsidRPr="00751DB0">
        <w:rPr>
          <w:rFonts w:hint="cs"/>
          <w:sz w:val="36"/>
          <w:szCs w:val="36"/>
          <w:rtl/>
          <w:lang w:bidi="ar-DZ"/>
        </w:rPr>
        <w:t xml:space="preserve"> متوجهة نحو موضوعها</w:t>
      </w:r>
      <w:r w:rsidR="00A01867" w:rsidRPr="00751DB0">
        <w:rPr>
          <w:rFonts w:hint="cs"/>
          <w:sz w:val="36"/>
          <w:szCs w:val="36"/>
          <w:rtl/>
          <w:lang w:bidi="ar-DZ"/>
        </w:rPr>
        <w:t>.</w:t>
      </w: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36"/>
          <w:szCs w:val="36"/>
          <w:rtl/>
          <w:lang w:bidi="ar-DZ"/>
        </w:rPr>
      </w:pPr>
    </w:p>
    <w:p w:rsidR="003A6288" w:rsidRPr="00751DB0" w:rsidRDefault="003A6288" w:rsidP="003A6288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36"/>
          <w:szCs w:val="36"/>
          <w:rtl/>
          <w:lang w:bidi="ar-DZ"/>
        </w:rPr>
      </w:pPr>
    </w:p>
    <w:p w:rsidR="003A6288" w:rsidRPr="00751DB0" w:rsidRDefault="003A6288" w:rsidP="00250F01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36"/>
          <w:szCs w:val="36"/>
          <w:rtl/>
          <w:lang w:bidi="ar-DZ"/>
        </w:rPr>
      </w:pPr>
    </w:p>
    <w:p w:rsidR="00A01867" w:rsidRPr="00250F01" w:rsidRDefault="00A01867" w:rsidP="003A6288">
      <w:pPr>
        <w:autoSpaceDE w:val="0"/>
        <w:autoSpaceDN w:val="0"/>
        <w:bidi/>
        <w:adjustRightInd w:val="0"/>
        <w:spacing w:after="0" w:line="240" w:lineRule="auto"/>
        <w:ind w:left="2124"/>
        <w:rPr>
          <w:rFonts w:ascii="Arial" w:hAnsi="Arial" w:cs="Arial" w:hint="cs"/>
          <w:sz w:val="26"/>
          <w:szCs w:val="26"/>
          <w:rtl/>
        </w:rPr>
      </w:pPr>
      <w:r w:rsidRPr="00751DB0">
        <w:rPr>
          <w:rFonts w:hint="cs"/>
          <w:sz w:val="36"/>
          <w:szCs w:val="36"/>
          <w:rtl/>
          <w:lang w:bidi="ar-DZ"/>
        </w:rPr>
        <w:t>"ما أراه,</w:t>
      </w:r>
      <w:r w:rsidRPr="00751DB0">
        <w:rPr>
          <w:rFonts w:ascii="Arial" w:hAnsi="Arial" w:cs="Arial"/>
          <w:sz w:val="36"/>
          <w:szCs w:val="36"/>
        </w:rPr>
        <w:t>]</w:t>
      </w:r>
      <w:r w:rsidR="003A3D56" w:rsidRPr="00751DB0">
        <w:rPr>
          <w:rFonts w:ascii="Arial" w:hAnsi="Arial" w:cs="Arial" w:hint="cs"/>
          <w:sz w:val="36"/>
          <w:szCs w:val="36"/>
          <w:rtl/>
        </w:rPr>
        <w:t xml:space="preserve"> </w:t>
      </w:r>
      <w:r w:rsidRPr="00751DB0">
        <w:rPr>
          <w:rFonts w:ascii="Arial" w:hAnsi="Arial" w:cs="Arial" w:hint="cs"/>
          <w:sz w:val="36"/>
          <w:szCs w:val="36"/>
          <w:rtl/>
        </w:rPr>
        <w:t xml:space="preserve">يتحدث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هسرل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عن وصفه لهذه التجربة المعيشة حينما تقصد الأنا الموضوع (خارجا عنها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)</w:t>
      </w:r>
      <w:proofErr w:type="spellEnd"/>
      <w:r w:rsidR="00250F01" w:rsidRPr="00751DB0"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 w:rsidR="00250F01" w:rsidRPr="00751DB0">
        <w:rPr>
          <w:rFonts w:ascii="Arial" w:hAnsi="Arial" w:cs="Arial"/>
          <w:sz w:val="36"/>
          <w:szCs w:val="36"/>
          <w:rtl/>
          <w:lang w:bidi="ar-DZ"/>
        </w:rPr>
        <w:t>]</w:t>
      </w:r>
      <w:proofErr w:type="spellEnd"/>
      <w:r w:rsidRPr="00751DB0"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ليس مجرد علامة ولا حتى نسخة (مني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),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بمقتضى الطبيعة المشتركة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بيننا,</w:t>
      </w:r>
      <w:proofErr w:type="spellEnd"/>
      <w:r w:rsidRPr="00751DB0">
        <w:rPr>
          <w:rFonts w:ascii="Arial" w:hAnsi="Arial" w:cs="Arial" w:hint="cs"/>
          <w:sz w:val="36"/>
          <w:szCs w:val="36"/>
          <w:rtl/>
        </w:rPr>
        <w:t xml:space="preserve"> و انما ما أجده هو </w:t>
      </w:r>
      <w:proofErr w:type="spellStart"/>
      <w:r w:rsidRPr="00751DB0">
        <w:rPr>
          <w:rFonts w:ascii="Arial" w:hAnsi="Arial" w:cs="Arial" w:hint="cs"/>
          <w:sz w:val="36"/>
          <w:szCs w:val="36"/>
          <w:rtl/>
        </w:rPr>
        <w:t>الأخر".</w:t>
      </w:r>
      <w:proofErr w:type="spellEnd"/>
    </w:p>
    <w:sectPr w:rsidR="00A01867" w:rsidRPr="00250F01" w:rsidSect="00CB7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FF" w:rsidRDefault="009425FF" w:rsidP="0097647E">
      <w:pPr>
        <w:spacing w:after="0" w:line="240" w:lineRule="auto"/>
      </w:pPr>
      <w:r>
        <w:separator/>
      </w:r>
    </w:p>
  </w:endnote>
  <w:endnote w:type="continuationSeparator" w:id="0">
    <w:p w:rsidR="009425FF" w:rsidRDefault="009425FF" w:rsidP="0097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640633"/>
      <w:docPartObj>
        <w:docPartGallery w:val="Page Numbers (Bottom of Page)"/>
        <w:docPartUnique/>
      </w:docPartObj>
    </w:sdtPr>
    <w:sdtContent>
      <w:p w:rsidR="0097647E" w:rsidRDefault="0097647E" w:rsidP="0097647E">
        <w:pPr>
          <w:pStyle w:val="Pieddepage"/>
          <w:jc w:val="center"/>
        </w:pPr>
        <w:fldSimple w:instr=" PAGE   \* MERGEFORMAT ">
          <w:r w:rsidR="00751DB0">
            <w:rPr>
              <w:noProof/>
            </w:rPr>
            <w:t>2</w:t>
          </w:r>
        </w:fldSimple>
      </w:p>
    </w:sdtContent>
  </w:sdt>
  <w:p w:rsidR="0097647E" w:rsidRDefault="009764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FF" w:rsidRDefault="009425FF" w:rsidP="0097647E">
      <w:pPr>
        <w:spacing w:after="0" w:line="240" w:lineRule="auto"/>
      </w:pPr>
      <w:r>
        <w:separator/>
      </w:r>
    </w:p>
  </w:footnote>
  <w:footnote w:type="continuationSeparator" w:id="0">
    <w:p w:rsidR="009425FF" w:rsidRDefault="009425FF" w:rsidP="00976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D29"/>
    <w:rsid w:val="000F466F"/>
    <w:rsid w:val="00250F01"/>
    <w:rsid w:val="003A1D17"/>
    <w:rsid w:val="003A3D56"/>
    <w:rsid w:val="003A6288"/>
    <w:rsid w:val="00751DB0"/>
    <w:rsid w:val="009425FF"/>
    <w:rsid w:val="00950D29"/>
    <w:rsid w:val="0097647E"/>
    <w:rsid w:val="009E1133"/>
    <w:rsid w:val="00A01867"/>
    <w:rsid w:val="00CB7F07"/>
    <w:rsid w:val="00FB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647E"/>
  </w:style>
  <w:style w:type="paragraph" w:styleId="Pieddepage">
    <w:name w:val="footer"/>
    <w:basedOn w:val="Normal"/>
    <w:link w:val="PieddepageCar"/>
    <w:uiPriority w:val="99"/>
    <w:unhideWhenUsed/>
    <w:rsid w:val="0097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7CE59-4A81-454C-8836-9513CAB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2020-10-04T20:30:00Z</dcterms:created>
  <dcterms:modified xsi:type="dcterms:W3CDTF">2020-10-04T22:04:00Z</dcterms:modified>
</cp:coreProperties>
</file>