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Default="00930D58" w:rsidP="00930D58">
      <w:pPr>
        <w:bidi/>
        <w:ind w:left="-567" w:right="-567"/>
        <w:jc w:val="center"/>
        <w:rPr>
          <w:rFonts w:cs="Simplified Arabic" w:hint="cs"/>
          <w:b/>
          <w:bCs/>
          <w:sz w:val="32"/>
          <w:szCs w:val="32"/>
          <w:rtl/>
          <w:lang w:bidi="ar-MA"/>
        </w:rPr>
      </w:pPr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رقم </w:t>
      </w:r>
      <w:proofErr w:type="spellStart"/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>4:</w:t>
      </w:r>
      <w:proofErr w:type="spellEnd"/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>التذكير</w:t>
      </w:r>
      <w:proofErr w:type="gramEnd"/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والتأنيث</w:t>
      </w:r>
    </w:p>
    <w:p w:rsidR="00930D58" w:rsidRPr="00930D58" w:rsidRDefault="00930D58" w:rsidP="00930D58">
      <w:pPr>
        <w:pStyle w:val="Paragraphedeliste"/>
        <w:numPr>
          <w:ilvl w:val="0"/>
          <w:numId w:val="1"/>
        </w:numPr>
        <w:bidi/>
        <w:ind w:right="-567"/>
        <w:rPr>
          <w:rFonts w:cs="Simplified Arabic" w:hint="cs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>التذكير والتأنيث في اللغة والاصطلاح:</w:t>
      </w:r>
      <w:r w:rsidR="00CC19B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930D58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CC19BF" w:rsidRDefault="00930D58" w:rsidP="00CC19BF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التذكير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في اللغة مأخوذ من الشدّة والصلابة والقوّة والشجاعة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والأنفة،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والتأنيث مأخوذ من اللين والسهولة والإنتاج والإنبات والخصوبة</w:t>
      </w:r>
      <w:r w:rsidR="00360368">
        <w:rPr>
          <w:rFonts w:cs="Simplified Arabic" w:hint="cs"/>
          <w:sz w:val="32"/>
          <w:szCs w:val="32"/>
          <w:rtl/>
          <w:lang w:bidi="ar-MA"/>
        </w:rPr>
        <w:t xml:space="preserve">. </w:t>
      </w:r>
      <w:proofErr w:type="gramStart"/>
      <w:r w:rsidR="00360368">
        <w:rPr>
          <w:rFonts w:cs="Simplified Arabic" w:hint="cs"/>
          <w:sz w:val="32"/>
          <w:szCs w:val="32"/>
          <w:rtl/>
          <w:lang w:bidi="ar-MA"/>
        </w:rPr>
        <w:t>أمّا</w:t>
      </w:r>
      <w:proofErr w:type="gramEnd"/>
      <w:r w:rsidR="00360368">
        <w:rPr>
          <w:rFonts w:cs="Simplified Arabic" w:hint="cs"/>
          <w:sz w:val="32"/>
          <w:szCs w:val="32"/>
          <w:rtl/>
          <w:lang w:bidi="ar-MA"/>
        </w:rPr>
        <w:t xml:space="preserve"> في الاصطلاح فهو الإخبار عن اللفظ على صفة </w:t>
      </w:r>
      <w:proofErr w:type="spellStart"/>
      <w:r w:rsidR="00360368">
        <w:rPr>
          <w:rFonts w:cs="Simplified Arabic" w:hint="cs"/>
          <w:sz w:val="32"/>
          <w:szCs w:val="32"/>
          <w:rtl/>
          <w:lang w:bidi="ar-MA"/>
        </w:rPr>
        <w:t>ما،</w:t>
      </w:r>
      <w:proofErr w:type="spellEnd"/>
      <w:r w:rsidR="00360368">
        <w:rPr>
          <w:rFonts w:cs="Simplified Arabic" w:hint="cs"/>
          <w:sz w:val="32"/>
          <w:szCs w:val="32"/>
          <w:rtl/>
          <w:lang w:bidi="ar-MA"/>
        </w:rPr>
        <w:t xml:space="preserve"> أو الإشارة </w:t>
      </w:r>
      <w:proofErr w:type="spellStart"/>
      <w:r w:rsidR="00360368">
        <w:rPr>
          <w:rFonts w:cs="Simplified Arabic" w:hint="cs"/>
          <w:sz w:val="32"/>
          <w:szCs w:val="32"/>
          <w:rtl/>
          <w:lang w:bidi="ar-MA"/>
        </w:rPr>
        <w:t>إليه،</w:t>
      </w:r>
      <w:proofErr w:type="spellEnd"/>
      <w:r w:rsidR="00360368">
        <w:rPr>
          <w:rFonts w:cs="Simplified Arabic" w:hint="cs"/>
          <w:sz w:val="32"/>
          <w:szCs w:val="32"/>
          <w:rtl/>
          <w:lang w:bidi="ar-MA"/>
        </w:rPr>
        <w:t xml:space="preserve"> أي أنّه يمكن التفريق بين</w:t>
      </w:r>
      <w:r w:rsidR="00CC19BF">
        <w:rPr>
          <w:rFonts w:cs="Simplified Arabic" w:hint="cs"/>
          <w:sz w:val="32"/>
          <w:szCs w:val="32"/>
          <w:rtl/>
          <w:lang w:bidi="ar-MA"/>
        </w:rPr>
        <w:t xml:space="preserve"> الاسم</w:t>
      </w:r>
      <w:r w:rsidR="00360368">
        <w:rPr>
          <w:rFonts w:cs="Simplified Arabic" w:hint="cs"/>
          <w:sz w:val="32"/>
          <w:szCs w:val="32"/>
          <w:rtl/>
          <w:lang w:bidi="ar-MA"/>
        </w:rPr>
        <w:t xml:space="preserve"> المذكّر و</w:t>
      </w:r>
      <w:r w:rsidR="00CC19BF">
        <w:rPr>
          <w:rFonts w:cs="Simplified Arabic" w:hint="cs"/>
          <w:sz w:val="32"/>
          <w:szCs w:val="32"/>
          <w:rtl/>
          <w:lang w:bidi="ar-MA"/>
        </w:rPr>
        <w:t xml:space="preserve">الاسم </w:t>
      </w:r>
      <w:r w:rsidR="00360368">
        <w:rPr>
          <w:rFonts w:cs="Simplified Arabic" w:hint="cs"/>
          <w:sz w:val="32"/>
          <w:szCs w:val="32"/>
          <w:rtl/>
          <w:lang w:bidi="ar-MA"/>
        </w:rPr>
        <w:t xml:space="preserve">المؤنّث بالإشارة إلى المذكّر بقولنا </w:t>
      </w:r>
      <w:r w:rsidR="00CC19BF">
        <w:rPr>
          <w:rFonts w:cs="Simplified Arabic" w:hint="cs"/>
          <w:sz w:val="32"/>
          <w:szCs w:val="32"/>
          <w:rtl/>
          <w:lang w:bidi="ar-MA"/>
        </w:rPr>
        <w:t>(</w:t>
      </w:r>
      <w:r w:rsidR="00360368">
        <w:rPr>
          <w:rFonts w:cs="Simplified Arabic" w:hint="cs"/>
          <w:sz w:val="32"/>
          <w:szCs w:val="32"/>
          <w:rtl/>
          <w:lang w:bidi="ar-MA"/>
        </w:rPr>
        <w:t>هذا</w:t>
      </w:r>
      <w:proofErr w:type="spellStart"/>
      <w:r w:rsidR="00CC19BF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360368">
        <w:rPr>
          <w:rFonts w:cs="Simplified Arabic" w:hint="cs"/>
          <w:sz w:val="32"/>
          <w:szCs w:val="32"/>
          <w:rtl/>
          <w:lang w:bidi="ar-MA"/>
        </w:rPr>
        <w:t xml:space="preserve"> والمؤ</w:t>
      </w:r>
      <w:r w:rsidR="00CC19BF">
        <w:rPr>
          <w:rFonts w:cs="Simplified Arabic" w:hint="cs"/>
          <w:sz w:val="32"/>
          <w:szCs w:val="32"/>
          <w:rtl/>
          <w:lang w:bidi="ar-MA"/>
        </w:rPr>
        <w:t>نّث بقولنا (هذه</w:t>
      </w:r>
      <w:proofErr w:type="spellStart"/>
      <w:r w:rsidR="00CC19BF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</w:p>
    <w:p w:rsidR="008C370D" w:rsidRDefault="00CC19BF" w:rsidP="00CC19BF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يختصّ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التذكير والتأنيث في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الأسماء،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أمّا الأفعال والحروف فلا يصحّ الإخبار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عنها،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ولا الإشارة إليها لأنّ الأسماء تدلّ على مسميّات تكون مذكّرة أو مؤنّثة</w:t>
      </w:r>
      <w:r w:rsidR="008C370D">
        <w:rPr>
          <w:rFonts w:cs="Simplified Arabic" w:hint="cs"/>
          <w:sz w:val="32"/>
          <w:szCs w:val="32"/>
          <w:rtl/>
          <w:lang w:bidi="ar-MA"/>
        </w:rPr>
        <w:t>.</w:t>
      </w:r>
    </w:p>
    <w:p w:rsidR="008C370D" w:rsidRDefault="008C370D" w:rsidP="008C370D">
      <w:pPr>
        <w:bidi/>
        <w:ind w:left="-567" w:righ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2</w:t>
      </w:r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أنواع المذكّر والمؤنّث</w:t>
      </w:r>
      <w:r w:rsidR="00CC19BF" w:rsidRPr="008C370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8C370D" w:rsidRDefault="008C370D" w:rsidP="008C370D">
      <w:pPr>
        <w:bidi/>
        <w:ind w:left="-567" w:right="-567"/>
        <w:rPr>
          <w:rFonts w:cs="Simplified Arabic" w:hint="cs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يمكن تقسيم المذكر إلى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نوعين</w:t>
      </w:r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المذكّر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الحقيقي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والمذكّر المجازي</w:t>
      </w:r>
    </w:p>
    <w:p w:rsidR="00162569" w:rsidRDefault="008C370D" w:rsidP="00162569">
      <w:pPr>
        <w:bidi/>
        <w:ind w:left="-567" w:right="-567"/>
        <w:rPr>
          <w:rFonts w:cs="Simplified Arabic" w:hint="cs"/>
          <w:b/>
          <w:bCs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>المذكّر</w:t>
      </w:r>
      <w:proofErr w:type="gramEnd"/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>الحقيقي</w:t>
      </w:r>
      <w:proofErr w:type="spellEnd"/>
      <w:r w:rsidRPr="008C370D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8C370D">
        <w:rPr>
          <w:rFonts w:cs="Simplified Arabic" w:hint="cs"/>
          <w:sz w:val="32"/>
          <w:szCs w:val="32"/>
          <w:rtl/>
          <w:lang w:bidi="ar-MA"/>
        </w:rPr>
        <w:t>وهو الذي يدلّ</w:t>
      </w:r>
      <w:r w:rsidR="00162569">
        <w:rPr>
          <w:rFonts w:cs="Simplified Arabic" w:hint="cs"/>
          <w:sz w:val="32"/>
          <w:szCs w:val="32"/>
          <w:rtl/>
          <w:lang w:bidi="ar-MA"/>
        </w:rPr>
        <w:t xml:space="preserve"> على ذكر من النّاس أو الحيوان </w:t>
      </w:r>
      <w:proofErr w:type="spellStart"/>
      <w:r w:rsidR="00162569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="00162569">
        <w:rPr>
          <w:rFonts w:cs="Simplified Arabic" w:hint="cs"/>
          <w:sz w:val="32"/>
          <w:szCs w:val="32"/>
          <w:rtl/>
          <w:lang w:bidi="ar-MA"/>
        </w:rPr>
        <w:t xml:space="preserve"> كرجل وولد</w:t>
      </w:r>
      <w:proofErr w:type="spellStart"/>
      <w:r w:rsidR="00162569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360368" w:rsidRPr="008C370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162569">
        <w:rPr>
          <w:rFonts w:cs="Simplified Arabic" w:hint="cs"/>
          <w:b/>
          <w:bCs/>
          <w:sz w:val="32"/>
          <w:szCs w:val="32"/>
          <w:rtl/>
          <w:lang w:bidi="ar-MA"/>
        </w:rPr>
        <w:t>و</w:t>
      </w:r>
      <w:proofErr w:type="spellStart"/>
      <w:r w:rsidR="00162569" w:rsidRPr="00162569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="00162569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62569" w:rsidRPr="00162569">
        <w:rPr>
          <w:rFonts w:cs="Simplified Arabic" w:hint="cs"/>
          <w:sz w:val="32"/>
          <w:szCs w:val="32"/>
          <w:rtl/>
          <w:lang w:bidi="ar-MA"/>
        </w:rPr>
        <w:t>كأسد وجمل</w:t>
      </w:r>
      <w:proofErr w:type="spellStart"/>
      <w:r w:rsidR="00162569" w:rsidRPr="00162569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930D58" w:rsidRPr="008C370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162569" w:rsidRDefault="00162569" w:rsidP="00162569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 w:rsidRPr="00162569">
        <w:rPr>
          <w:rFonts w:cs="Simplified Arabic" w:hint="cs"/>
          <w:sz w:val="32"/>
          <w:szCs w:val="32"/>
          <w:rtl/>
          <w:lang w:bidi="ar-MA"/>
        </w:rPr>
        <w:t>فتقول</w:t>
      </w:r>
      <w:r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رجل،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أسد،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ولد،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جمل.</w:t>
      </w:r>
    </w:p>
    <w:p w:rsidR="00930D58" w:rsidRDefault="00162569" w:rsidP="00162569">
      <w:pPr>
        <w:pStyle w:val="Paragraphedeliste"/>
        <w:numPr>
          <w:ilvl w:val="0"/>
          <w:numId w:val="2"/>
        </w:numPr>
        <w:bidi/>
        <w:ind w:right="-567"/>
        <w:rPr>
          <w:rFonts w:cs="Simplified Arabic" w:hint="cs"/>
          <w:sz w:val="32"/>
          <w:szCs w:val="32"/>
          <w:lang w:bidi="ar-MA"/>
        </w:rPr>
      </w:pPr>
      <w:proofErr w:type="gramStart"/>
      <w:r w:rsidRPr="00162569">
        <w:rPr>
          <w:rFonts w:cs="Simplified Arabic" w:hint="cs"/>
          <w:b/>
          <w:bCs/>
          <w:sz w:val="32"/>
          <w:szCs w:val="32"/>
          <w:rtl/>
          <w:lang w:bidi="ar-MA"/>
        </w:rPr>
        <w:t>المذكّر</w:t>
      </w:r>
      <w:proofErr w:type="gramEnd"/>
      <w:r w:rsidRPr="0016256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162569">
        <w:rPr>
          <w:rFonts w:cs="Simplified Arabic" w:hint="cs"/>
          <w:b/>
          <w:bCs/>
          <w:sz w:val="32"/>
          <w:szCs w:val="32"/>
          <w:rtl/>
          <w:lang w:bidi="ar-MA"/>
        </w:rPr>
        <w:t>المجازي:</w:t>
      </w:r>
      <w:proofErr w:type="spellEnd"/>
      <w:r w:rsidRPr="00162569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وهو اسم لغير الإنسان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والحيوان،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فهو اسم لجماد أو نبات أو لشيء آخر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غيرهما،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ويعامل معاملة المذكّر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الحقيقي</w:t>
      </w:r>
      <w:proofErr w:type="spellEnd"/>
      <w:r w:rsidR="00930D58" w:rsidRPr="00162569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نحو: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بدر،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ليل،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زرع،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كهف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فتقول: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كهف،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بدر،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ليل،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زرع.</w:t>
      </w:r>
    </w:p>
    <w:p w:rsidR="00162569" w:rsidRDefault="00162569" w:rsidP="00162569">
      <w:pPr>
        <w:bidi/>
        <w:ind w:left="-567" w:right="-567"/>
        <w:rPr>
          <w:rFonts w:cs="Simplified Arabic" w:hint="cs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يمكن تقسيم المؤنّث إلى أربعة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أنواع</w:t>
      </w:r>
      <w:r w:rsidR="00F918EF"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 w:rsidR="00F918EF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>المؤنّث</w:t>
      </w:r>
      <w:proofErr w:type="gramEnd"/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>اللفظي</w:t>
      </w:r>
      <w:r w:rsidR="00F918EF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F918EF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المؤنث </w:t>
      </w:r>
      <w:proofErr w:type="spellStart"/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>المعنوي</w:t>
      </w:r>
      <w:r w:rsidR="00F918EF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F918EF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المؤنّث </w:t>
      </w:r>
      <w:proofErr w:type="spellStart"/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>الحقيقي</w:t>
      </w:r>
      <w:r w:rsidR="00F918EF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F918EF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918EF" w:rsidRPr="005639D7">
        <w:rPr>
          <w:rFonts w:cs="Simplified Arabic" w:hint="cs"/>
          <w:b/>
          <w:bCs/>
          <w:sz w:val="32"/>
          <w:szCs w:val="32"/>
          <w:rtl/>
          <w:lang w:bidi="ar-MA"/>
        </w:rPr>
        <w:t>المؤنّث المجازي</w:t>
      </w:r>
      <w:r w:rsidR="005639D7"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</w:p>
    <w:p w:rsidR="005639D7" w:rsidRDefault="005639D7" w:rsidP="005639D7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المؤنّث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اللفظي: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هو ما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لحقته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علامة التأنيث سواء دلّ على مؤنّث أو مذكّر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طلحة،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خديجة،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خليفة،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عائشة،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فتقول: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طلحة،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خديجة،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خليفة،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عائشة.</w:t>
      </w:r>
    </w:p>
    <w:p w:rsidR="005639D7" w:rsidRDefault="005639D7" w:rsidP="005639D7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المؤنّث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المعنوي: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وهو ما دلّ على مؤنّث ولم تلحقه علامة التأنيث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نحؤ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: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مريم،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هند،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رِجل،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يد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فتقول: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يد،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مريم،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رِجل،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هذه هند.</w:t>
      </w:r>
    </w:p>
    <w:p w:rsidR="00553B9D" w:rsidRDefault="005639D7" w:rsidP="001C74EC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 w:rsidRPr="0012154B"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>-</w:t>
      </w:r>
      <w:proofErr w:type="spellEnd"/>
      <w:r w:rsidRPr="0012154B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المؤنّث </w:t>
      </w:r>
      <w:proofErr w:type="spellStart"/>
      <w:r w:rsidRPr="0012154B">
        <w:rPr>
          <w:rFonts w:cs="Simplified Arabic" w:hint="cs"/>
          <w:b/>
          <w:bCs/>
          <w:sz w:val="32"/>
          <w:szCs w:val="32"/>
          <w:rtl/>
          <w:lang w:bidi="ar-MA"/>
        </w:rPr>
        <w:t>الحقيقي</w:t>
      </w:r>
      <w:proofErr w:type="spellEnd"/>
      <w:r w:rsidRPr="0012154B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r w:rsidR="0012154B">
        <w:rPr>
          <w:rFonts w:cs="Simplified Arabic" w:hint="cs"/>
          <w:sz w:val="32"/>
          <w:szCs w:val="32"/>
          <w:rtl/>
          <w:lang w:bidi="ar-MA"/>
        </w:rPr>
        <w:t xml:space="preserve"> وهو الاسم الدالّ على </w:t>
      </w:r>
      <w:proofErr w:type="spellStart"/>
      <w:r w:rsidR="0012154B">
        <w:rPr>
          <w:rFonts w:cs="Simplified Arabic" w:hint="cs"/>
          <w:sz w:val="32"/>
          <w:szCs w:val="32"/>
          <w:rtl/>
          <w:lang w:bidi="ar-MA"/>
        </w:rPr>
        <w:t>على</w:t>
      </w:r>
      <w:proofErr w:type="spellEnd"/>
      <w:r w:rsidR="0012154B">
        <w:rPr>
          <w:rFonts w:cs="Simplified Arabic" w:hint="cs"/>
          <w:sz w:val="32"/>
          <w:szCs w:val="32"/>
          <w:rtl/>
          <w:lang w:bidi="ar-MA"/>
        </w:rPr>
        <w:t xml:space="preserve"> مؤنّث </w:t>
      </w:r>
      <w:proofErr w:type="spellStart"/>
      <w:r w:rsidR="0012154B">
        <w:rPr>
          <w:rFonts w:cs="Simplified Arabic" w:hint="cs"/>
          <w:sz w:val="32"/>
          <w:szCs w:val="32"/>
          <w:rtl/>
          <w:lang w:bidi="ar-MA"/>
        </w:rPr>
        <w:t>حقيقي</w:t>
      </w:r>
      <w:proofErr w:type="spellEnd"/>
      <w:r w:rsidR="0012154B">
        <w:rPr>
          <w:rFonts w:cs="Simplified Arabic" w:hint="cs"/>
          <w:sz w:val="32"/>
          <w:szCs w:val="32"/>
          <w:rtl/>
          <w:lang w:bidi="ar-MA"/>
        </w:rPr>
        <w:t xml:space="preserve"> من النّاس أو </w:t>
      </w:r>
      <w:proofErr w:type="spellStart"/>
      <w:r w:rsidR="0012154B">
        <w:rPr>
          <w:rFonts w:cs="Simplified Arabic" w:hint="cs"/>
          <w:sz w:val="32"/>
          <w:szCs w:val="32"/>
          <w:rtl/>
          <w:lang w:bidi="ar-MA"/>
        </w:rPr>
        <w:t>الحيوانات،</w:t>
      </w:r>
      <w:proofErr w:type="spellEnd"/>
      <w:r w:rsidR="0012154B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2154B">
        <w:rPr>
          <w:rFonts w:cs="Simplified Arabic" w:hint="cs"/>
          <w:sz w:val="32"/>
          <w:szCs w:val="32"/>
          <w:rtl/>
          <w:lang w:bidi="ar-MA"/>
        </w:rPr>
        <w:t>نحو</w:t>
      </w:r>
      <w:r w:rsidR="001C74EC"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امرأة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ناقة،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مريم،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أتان،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فتقول: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هذه </w:t>
      </w:r>
      <w:proofErr w:type="spellStart"/>
      <w:r w:rsidR="001C74EC">
        <w:rPr>
          <w:rFonts w:cs="Simplified Arabic" w:hint="cs"/>
          <w:sz w:val="32"/>
          <w:szCs w:val="32"/>
          <w:rtl/>
          <w:lang w:bidi="ar-MA"/>
        </w:rPr>
        <w:t>ناقة،</w:t>
      </w:r>
      <w:proofErr w:type="spellEnd"/>
      <w:r w:rsidR="001C74EC">
        <w:rPr>
          <w:rFonts w:cs="Simplified Arabic" w:hint="cs"/>
          <w:sz w:val="32"/>
          <w:szCs w:val="32"/>
          <w:rtl/>
          <w:lang w:bidi="ar-MA"/>
        </w:rPr>
        <w:t xml:space="preserve"> هذه امرأة.</w:t>
      </w:r>
      <w:r w:rsidR="00553B9D">
        <w:rPr>
          <w:rFonts w:cs="Simplified Arabic" w:hint="cs"/>
          <w:sz w:val="32"/>
          <w:szCs w:val="32"/>
          <w:rtl/>
          <w:lang w:bidi="ar-MA"/>
        </w:rPr>
        <w:t>..</w:t>
      </w:r>
    </w:p>
    <w:p w:rsidR="005639D7" w:rsidRDefault="00553B9D" w:rsidP="00553B9D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المؤنّث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المجازي: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وهو اسم لغير الإنسان أو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الحيوان،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ويعامل معاملة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المؤنّث،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كأن يشار إليه بلفظ (هذه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نحو: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عين،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شمس،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زهرة،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ورقة،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عاطفة.</w:t>
      </w:r>
    </w:p>
    <w:p w:rsidR="00553B9D" w:rsidRDefault="00553B9D" w:rsidP="00553B9D">
      <w:pPr>
        <w:bidi/>
        <w:ind w:left="-567" w:right="-567"/>
        <w:rPr>
          <w:rFonts w:cs="Simplified Arabic" w:hint="cs"/>
          <w:sz w:val="32"/>
          <w:szCs w:val="32"/>
          <w:rtl/>
          <w:lang w:bidi="ar-MA"/>
        </w:rPr>
      </w:pPr>
      <w:proofErr w:type="spellStart"/>
      <w:proofErr w:type="gramStart"/>
      <w:r>
        <w:rPr>
          <w:rFonts w:cs="Simplified Arabic" w:hint="cs"/>
          <w:b/>
          <w:bCs/>
          <w:sz w:val="32"/>
          <w:szCs w:val="32"/>
          <w:rtl/>
          <w:lang w:bidi="ar-MA"/>
        </w:rPr>
        <w:t>ملاحظة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هناك من المجازي ما يستوي فيه التذكير والتأنيث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سكين،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سبيل،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بلاد،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فتقول: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سكين وهذه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سكين،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هذا بلد وهذه بلد...</w:t>
      </w:r>
    </w:p>
    <w:p w:rsidR="00766321" w:rsidRDefault="00553B9D" w:rsidP="00C14D7E">
      <w:pPr>
        <w:pStyle w:val="Paragraphedeliste"/>
        <w:numPr>
          <w:ilvl w:val="0"/>
          <w:numId w:val="3"/>
        </w:numPr>
        <w:bidi/>
        <w:ind w:right="-567"/>
        <w:rPr>
          <w:rFonts w:cs="Simplified Arabic" w:hint="cs"/>
          <w:sz w:val="32"/>
          <w:szCs w:val="32"/>
          <w:lang w:bidi="ar-MA"/>
        </w:rPr>
      </w:pPr>
      <w:proofErr w:type="gramStart"/>
      <w:r w:rsidRPr="00C14D7E">
        <w:rPr>
          <w:rFonts w:cs="Simplified Arabic" w:hint="cs"/>
          <w:sz w:val="32"/>
          <w:szCs w:val="32"/>
          <w:rtl/>
          <w:lang w:bidi="ar-MA"/>
        </w:rPr>
        <w:t>علامات</w:t>
      </w:r>
      <w:proofErr w:type="gramEnd"/>
      <w:r w:rsidRPr="00C14D7E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C14D7E">
        <w:rPr>
          <w:rFonts w:cs="Simplified Arabic" w:hint="cs"/>
          <w:sz w:val="32"/>
          <w:szCs w:val="32"/>
          <w:rtl/>
          <w:lang w:bidi="ar-MA"/>
        </w:rPr>
        <w:t>التأنيث</w:t>
      </w:r>
      <w:r w:rsidR="00C14D7E" w:rsidRPr="00C14D7E"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 w:rsidR="00C14D7E">
        <w:rPr>
          <w:rFonts w:cs="Simplified Arabic" w:hint="cs"/>
          <w:sz w:val="32"/>
          <w:szCs w:val="32"/>
          <w:rtl/>
          <w:lang w:bidi="ar-MA"/>
        </w:rPr>
        <w:t xml:space="preserve"> يعدّ </w:t>
      </w:r>
      <w:r w:rsidR="00766321">
        <w:rPr>
          <w:rFonts w:cs="Simplified Arabic" w:hint="cs"/>
          <w:sz w:val="32"/>
          <w:szCs w:val="32"/>
          <w:rtl/>
          <w:lang w:bidi="ar-MA"/>
        </w:rPr>
        <w:t xml:space="preserve">الاسم المذكّر عند العلماء العرب أصلا </w:t>
      </w:r>
      <w:r w:rsidR="00C14D7E">
        <w:rPr>
          <w:rFonts w:cs="Simplified Arabic" w:hint="cs"/>
          <w:sz w:val="32"/>
          <w:szCs w:val="32"/>
          <w:rtl/>
          <w:lang w:bidi="ar-MA"/>
        </w:rPr>
        <w:t>و</w:t>
      </w:r>
      <w:r w:rsidR="00766321">
        <w:rPr>
          <w:rFonts w:cs="Simplified Arabic" w:hint="cs"/>
          <w:sz w:val="32"/>
          <w:szCs w:val="32"/>
          <w:rtl/>
          <w:lang w:bidi="ar-MA"/>
        </w:rPr>
        <w:t xml:space="preserve">الاسم </w:t>
      </w:r>
      <w:r w:rsidR="00C14D7E">
        <w:rPr>
          <w:rFonts w:cs="Simplified Arabic" w:hint="cs"/>
          <w:sz w:val="32"/>
          <w:szCs w:val="32"/>
          <w:rtl/>
          <w:lang w:bidi="ar-MA"/>
        </w:rPr>
        <w:t xml:space="preserve">المؤنّث فرعا </w:t>
      </w:r>
      <w:proofErr w:type="spellStart"/>
      <w:r w:rsidR="00C14D7E">
        <w:rPr>
          <w:rFonts w:cs="Simplified Arabic" w:hint="cs"/>
          <w:sz w:val="32"/>
          <w:szCs w:val="32"/>
          <w:rtl/>
          <w:lang w:bidi="ar-MA"/>
        </w:rPr>
        <w:t>منه،</w:t>
      </w:r>
      <w:proofErr w:type="spellEnd"/>
      <w:r w:rsidR="00C14D7E">
        <w:rPr>
          <w:rFonts w:cs="Simplified Arabic" w:hint="cs"/>
          <w:sz w:val="32"/>
          <w:szCs w:val="32"/>
          <w:rtl/>
          <w:lang w:bidi="ar-MA"/>
        </w:rPr>
        <w:t xml:space="preserve"> لأنّ الاسم المذكّر يستغني عن علامة </w:t>
      </w:r>
      <w:r w:rsidR="00766321">
        <w:rPr>
          <w:rFonts w:cs="Simplified Arabic" w:hint="cs"/>
          <w:sz w:val="32"/>
          <w:szCs w:val="32"/>
          <w:rtl/>
          <w:lang w:bidi="ar-MA"/>
        </w:rPr>
        <w:t xml:space="preserve">تدلّ على </w:t>
      </w:r>
      <w:proofErr w:type="spellStart"/>
      <w:r w:rsidR="00766321">
        <w:rPr>
          <w:rFonts w:cs="Simplified Arabic" w:hint="cs"/>
          <w:sz w:val="32"/>
          <w:szCs w:val="32"/>
          <w:rtl/>
          <w:lang w:bidi="ar-MA"/>
        </w:rPr>
        <w:t>تذكيره،</w:t>
      </w:r>
      <w:proofErr w:type="spellEnd"/>
      <w:r w:rsidR="00766321">
        <w:rPr>
          <w:rFonts w:cs="Simplified Arabic" w:hint="cs"/>
          <w:sz w:val="32"/>
          <w:szCs w:val="32"/>
          <w:rtl/>
          <w:lang w:bidi="ar-MA"/>
        </w:rPr>
        <w:t xml:space="preserve"> بخلاف الاسم المؤنّث الذي يحتاج إلى علامات تميّزه عن الأصل. </w:t>
      </w:r>
      <w:proofErr w:type="gramStart"/>
      <w:r w:rsidR="00766321">
        <w:rPr>
          <w:rFonts w:cs="Simplified Arabic" w:hint="cs"/>
          <w:sz w:val="32"/>
          <w:szCs w:val="32"/>
          <w:rtl/>
          <w:lang w:bidi="ar-MA"/>
        </w:rPr>
        <w:t>وعلاماته</w:t>
      </w:r>
      <w:proofErr w:type="gramEnd"/>
      <w:r w:rsidR="00766321">
        <w:rPr>
          <w:rFonts w:cs="Simplified Arabic" w:hint="cs"/>
          <w:sz w:val="32"/>
          <w:szCs w:val="32"/>
          <w:rtl/>
          <w:lang w:bidi="ar-MA"/>
        </w:rPr>
        <w:t xml:space="preserve"> هي:</w:t>
      </w:r>
    </w:p>
    <w:p w:rsidR="00766321" w:rsidRDefault="00766321" w:rsidP="00BE2A43">
      <w:pPr>
        <w:pStyle w:val="Paragraphedeliste"/>
        <w:numPr>
          <w:ilvl w:val="0"/>
          <w:numId w:val="2"/>
        </w:numPr>
        <w:bidi/>
        <w:ind w:right="-567"/>
        <w:rPr>
          <w:rFonts w:cs="Simplified Arabic" w:hint="cs"/>
          <w:sz w:val="32"/>
          <w:szCs w:val="32"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تاء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التأنيث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المربوطة: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فاطمة،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عنترة</w:t>
      </w:r>
      <w:r w:rsidR="00BE2A43">
        <w:rPr>
          <w:rFonts w:cs="Simplified Arabic" w:hint="cs"/>
          <w:sz w:val="32"/>
          <w:szCs w:val="32"/>
          <w:rtl/>
          <w:lang w:bidi="ar-MA"/>
        </w:rPr>
        <w:t xml:space="preserve">. </w:t>
      </w:r>
    </w:p>
    <w:p w:rsidR="00BE2A43" w:rsidRDefault="00BE2A43" w:rsidP="00BE2A43">
      <w:pPr>
        <w:pStyle w:val="Paragraphedeliste"/>
        <w:numPr>
          <w:ilvl w:val="0"/>
          <w:numId w:val="2"/>
        </w:numPr>
        <w:bidi/>
        <w:ind w:right="-567"/>
        <w:rPr>
          <w:rFonts w:cs="Simplified Arabic" w:hint="cs"/>
          <w:sz w:val="32"/>
          <w:szCs w:val="32"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ألف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التأنيث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المقصورة: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ليلى،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هدى.</w:t>
      </w:r>
    </w:p>
    <w:p w:rsidR="00BE2A43" w:rsidRDefault="00BE2A43" w:rsidP="00BE2A43">
      <w:pPr>
        <w:pStyle w:val="Paragraphedeliste"/>
        <w:numPr>
          <w:ilvl w:val="0"/>
          <w:numId w:val="2"/>
        </w:numPr>
        <w:bidi/>
        <w:ind w:right="-567"/>
        <w:rPr>
          <w:rFonts w:cs="Simplified Arabic" w:hint="cs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ألف التأنيث 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bidi="ar-MA"/>
        </w:rPr>
        <w:t>الممدودة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صحراء،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حمراء،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أسماء.</w:t>
      </w:r>
    </w:p>
    <w:p w:rsidR="00BE2A43" w:rsidRDefault="009D6C3A" w:rsidP="00124F88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*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تدخل تاء التأنيث المربوطة على أكثر الأسماء 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المشتقة،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نحو: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(عالم عالمة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)،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(كاتب كاتبة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)،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(مكتوب مكتوبة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ولا تدخل على الأسماء 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الجامدة،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فلا </w:t>
      </w:r>
      <w:proofErr w:type="spellStart"/>
      <w:r w:rsidR="00BE2A43" w:rsidRPr="00BE2A43">
        <w:rPr>
          <w:rFonts w:cs="Simplified Arabic" w:hint="cs"/>
          <w:sz w:val="32"/>
          <w:szCs w:val="32"/>
          <w:rtl/>
          <w:lang w:bidi="ar-MA"/>
        </w:rPr>
        <w:t>يقال:</w:t>
      </w:r>
      <w:proofErr w:type="spellEnd"/>
      <w:r w:rsidR="00BE2A43" w:rsidRPr="00BE2A43">
        <w:rPr>
          <w:rFonts w:cs="Simplified Arabic" w:hint="cs"/>
          <w:sz w:val="32"/>
          <w:szCs w:val="32"/>
          <w:rtl/>
          <w:lang w:bidi="ar-MA"/>
        </w:rPr>
        <w:t xml:space="preserve"> رجل رجلة مثلا.</w:t>
      </w:r>
    </w:p>
    <w:p w:rsidR="00567872" w:rsidRDefault="009D6C3A" w:rsidP="009D6C3A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MA"/>
        </w:rPr>
        <w:t>*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2652F">
        <w:rPr>
          <w:rFonts w:cs="Simplified Arabic" w:hint="cs"/>
          <w:sz w:val="32"/>
          <w:szCs w:val="32"/>
          <w:rtl/>
          <w:lang w:bidi="ar-MA"/>
        </w:rPr>
        <w:t xml:space="preserve">لا تلحق هذه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التاء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بعض المشتقات وهي:</w:t>
      </w:r>
    </w:p>
    <w:p w:rsidR="009D6C3A" w:rsidRDefault="009D6C3A" w:rsidP="00567872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r w:rsidRPr="00567872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فعول الذي بمعنى فاعل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صبور فمؤنّثه صابرة وليست صبورة وكذلك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عجوز،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فمؤنّثه عاجزة وليست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عجوزة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>.</w:t>
      </w:r>
      <w:r w:rsidR="00567872">
        <w:rPr>
          <w:rFonts w:cs="Simplified Arabic" w:hint="cs"/>
          <w:sz w:val="32"/>
          <w:szCs w:val="32"/>
          <w:rtl/>
          <w:lang w:bidi="ar-MA"/>
        </w:rPr>
        <w:t xml:space="preserve">  </w:t>
      </w:r>
      <w:proofErr w:type="gramStart"/>
      <w:r w:rsidRPr="00567872">
        <w:rPr>
          <w:rFonts w:cs="Simplified Arabic" w:hint="cs"/>
          <w:sz w:val="32"/>
          <w:szCs w:val="32"/>
          <w:rtl/>
          <w:lang w:bidi="ar-MA"/>
        </w:rPr>
        <w:t>صبور</w:t>
      </w:r>
      <w:proofErr w:type="gramEnd"/>
      <w:r w:rsidRPr="00567872">
        <w:rPr>
          <w:rFonts w:cs="Simplified Arabic" w:hint="cs"/>
          <w:sz w:val="32"/>
          <w:szCs w:val="32"/>
          <w:rtl/>
          <w:lang w:bidi="ar-MA"/>
        </w:rPr>
        <w:t xml:space="preserve"> يقال للمؤنّث والمذكّر وكذلك عجوز.</w:t>
      </w:r>
    </w:p>
    <w:p w:rsidR="00567872" w:rsidRDefault="00567872" w:rsidP="00567872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مفعال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بكسر الميم </w:t>
      </w:r>
      <w:proofErr w:type="spellStart"/>
      <w:r w:rsidR="00E53EB1"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 w:rsidR="00E53EB1">
        <w:rPr>
          <w:rFonts w:cs="Simplified Arabic" w:hint="cs"/>
          <w:sz w:val="32"/>
          <w:szCs w:val="32"/>
          <w:rtl/>
          <w:lang w:bidi="ar-MA"/>
        </w:rPr>
        <w:t xml:space="preserve"> امرأة </w:t>
      </w:r>
      <w:proofErr w:type="spellStart"/>
      <w:r w:rsidR="00E53EB1">
        <w:rPr>
          <w:rFonts w:cs="Simplified Arabic" w:hint="cs"/>
          <w:sz w:val="32"/>
          <w:szCs w:val="32"/>
          <w:rtl/>
          <w:lang w:bidi="ar-MA"/>
        </w:rPr>
        <w:t>مفراح</w:t>
      </w:r>
      <w:proofErr w:type="spellEnd"/>
      <w:r w:rsidR="00E53EB1">
        <w:rPr>
          <w:rFonts w:cs="Simplified Arabic" w:hint="cs"/>
          <w:sz w:val="32"/>
          <w:szCs w:val="32"/>
          <w:rtl/>
          <w:lang w:bidi="ar-MA"/>
        </w:rPr>
        <w:t xml:space="preserve"> وامرأة </w:t>
      </w:r>
      <w:proofErr w:type="spellStart"/>
      <w:r w:rsidR="00E53EB1">
        <w:rPr>
          <w:rFonts w:cs="Simplified Arabic" w:hint="cs"/>
          <w:sz w:val="32"/>
          <w:szCs w:val="32"/>
          <w:rtl/>
          <w:lang w:bidi="ar-MA"/>
        </w:rPr>
        <w:t>مفضال</w:t>
      </w:r>
      <w:proofErr w:type="spellEnd"/>
      <w:r w:rsidR="00E53EB1">
        <w:rPr>
          <w:rFonts w:cs="Simplified Arabic" w:hint="cs"/>
          <w:sz w:val="32"/>
          <w:szCs w:val="32"/>
          <w:rtl/>
          <w:lang w:bidi="ar-MA"/>
        </w:rPr>
        <w:t>.</w:t>
      </w:r>
    </w:p>
    <w:p w:rsidR="00E53EB1" w:rsidRDefault="00E53EB1" w:rsidP="00E53EB1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فعيل الذي بمعنى مفعول </w:t>
      </w:r>
      <w:r>
        <w:rPr>
          <w:rFonts w:cs="Simplified Arabic" w:hint="cs"/>
          <w:sz w:val="32"/>
          <w:szCs w:val="32"/>
          <w:rtl/>
          <w:lang w:bidi="ar-MA"/>
        </w:rPr>
        <w:t xml:space="preserve">فالأحسن حذف التاء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المربوطة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منه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جوازا،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كقولك امرأة جريح وامرأة جريحة، </w:t>
      </w:r>
    </w:p>
    <w:p w:rsidR="00734B38" w:rsidRDefault="00E53EB1" w:rsidP="00E53EB1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المشتقات الدالة على المعنى الخاص بالأنثى </w:t>
      </w:r>
      <w:r w:rsidRPr="00E53EB1">
        <w:rPr>
          <w:rFonts w:cs="Simplified Arabic" w:hint="cs"/>
          <w:sz w:val="32"/>
          <w:szCs w:val="32"/>
          <w:rtl/>
          <w:lang w:bidi="ar-MA"/>
        </w:rPr>
        <w:t>والذي يناسب طبيعتها تحذف</w:t>
      </w:r>
      <w:r w:rsidR="00734B38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E53EB1">
        <w:rPr>
          <w:rFonts w:cs="Simplified Arabic" w:hint="cs"/>
          <w:sz w:val="32"/>
          <w:szCs w:val="32"/>
          <w:rtl/>
          <w:lang w:bidi="ar-MA"/>
        </w:rPr>
        <w:t xml:space="preserve"> منها التاء</w:t>
      </w:r>
      <w:r w:rsidR="00734B38">
        <w:rPr>
          <w:rFonts w:cs="Simplified Arabic" w:hint="cs"/>
          <w:sz w:val="32"/>
          <w:szCs w:val="32"/>
          <w:rtl/>
          <w:lang w:bidi="ar-MA"/>
        </w:rPr>
        <w:t xml:space="preserve"> جوازا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امرأة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مرضع،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حامل،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طالق،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ناشز،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حائض...</w:t>
      </w:r>
    </w:p>
    <w:p w:rsidR="00E53EB1" w:rsidRPr="00E53EB1" w:rsidRDefault="00734B38" w:rsidP="00734B38">
      <w:pPr>
        <w:pStyle w:val="Paragraphedeliste"/>
        <w:bidi/>
        <w:ind w:left="-207" w:right="-567"/>
        <w:jc w:val="both"/>
        <w:rPr>
          <w:rFonts w:cs="Simplified Arabic" w:hint="cs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المصدر الذي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MA"/>
        </w:rPr>
        <w:t>يراد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به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MA"/>
        </w:rPr>
        <w:t>الوصف</w:t>
      </w:r>
      <w:r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مثل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قولك: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امرأة عدل ورجل عدل.</w:t>
      </w:r>
      <w:r w:rsidR="00E53EB1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5639D7" w:rsidRPr="005639D7" w:rsidRDefault="005639D7" w:rsidP="00B069F1">
      <w:pPr>
        <w:bidi/>
        <w:ind w:right="-567"/>
        <w:rPr>
          <w:rFonts w:cs="Simplified Arabic" w:hint="cs"/>
          <w:sz w:val="32"/>
          <w:szCs w:val="32"/>
          <w:lang w:bidi="ar-MA"/>
        </w:rPr>
      </w:pPr>
    </w:p>
    <w:sectPr w:rsidR="005639D7" w:rsidRPr="005639D7" w:rsidSect="00124F88"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25F"/>
    <w:multiLevelType w:val="hybridMultilevel"/>
    <w:tmpl w:val="1390E62C"/>
    <w:lvl w:ilvl="0" w:tplc="D5D4A05A">
      <w:start w:val="3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AF87163"/>
    <w:multiLevelType w:val="hybridMultilevel"/>
    <w:tmpl w:val="35381C22"/>
    <w:lvl w:ilvl="0" w:tplc="86DC263E">
      <w:start w:val="2"/>
      <w:numFmt w:val="bullet"/>
      <w:lvlText w:val="-"/>
      <w:lvlJc w:val="left"/>
      <w:pPr>
        <w:ind w:left="-207" w:hanging="360"/>
      </w:pPr>
      <w:rPr>
        <w:rFonts w:asciiTheme="minorHAnsi" w:eastAsiaTheme="minorHAnsi" w:hAnsiTheme="minorHAnsi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21D1407"/>
    <w:multiLevelType w:val="hybridMultilevel"/>
    <w:tmpl w:val="AF108AD0"/>
    <w:lvl w:ilvl="0" w:tplc="F7F2AF8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0D58"/>
    <w:rsid w:val="0012154B"/>
    <w:rsid w:val="00124F88"/>
    <w:rsid w:val="0012652F"/>
    <w:rsid w:val="00162569"/>
    <w:rsid w:val="001C74EC"/>
    <w:rsid w:val="00301BE5"/>
    <w:rsid w:val="00360368"/>
    <w:rsid w:val="00553B9D"/>
    <w:rsid w:val="005639D7"/>
    <w:rsid w:val="00567872"/>
    <w:rsid w:val="00734B38"/>
    <w:rsid w:val="00766321"/>
    <w:rsid w:val="008C370D"/>
    <w:rsid w:val="00930D58"/>
    <w:rsid w:val="009A0E4B"/>
    <w:rsid w:val="009D6C3A"/>
    <w:rsid w:val="00AA6B38"/>
    <w:rsid w:val="00B069F1"/>
    <w:rsid w:val="00BE2A43"/>
    <w:rsid w:val="00C14D7E"/>
    <w:rsid w:val="00CA54E9"/>
    <w:rsid w:val="00CC19BF"/>
    <w:rsid w:val="00E53EB1"/>
    <w:rsid w:val="00F9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11</cp:revision>
  <dcterms:created xsi:type="dcterms:W3CDTF">2021-01-31T17:56:00Z</dcterms:created>
  <dcterms:modified xsi:type="dcterms:W3CDTF">2021-01-31T20:25:00Z</dcterms:modified>
</cp:coreProperties>
</file>