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9FA" w:rsidRDefault="00A224EE">
      <w:r>
        <w:rPr>
          <w:noProof/>
          <w:lang w:eastAsia="fr-FR"/>
        </w:rPr>
        <w:drawing>
          <wp:inline distT="0" distB="0" distL="0" distR="0">
            <wp:extent cx="5486400" cy="3200400"/>
            <wp:effectExtent l="19050" t="0" r="19050" b="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tbl>
      <w:tblPr>
        <w:tblW w:w="5873" w:type="dxa"/>
        <w:jc w:val="right"/>
        <w:tblInd w:w="1063" w:type="dxa"/>
        <w:tblCellMar>
          <w:left w:w="70" w:type="dxa"/>
          <w:right w:w="70" w:type="dxa"/>
        </w:tblCellMar>
        <w:tblLook w:val="04A0"/>
      </w:tblPr>
      <w:tblGrid>
        <w:gridCol w:w="5873"/>
      </w:tblGrid>
      <w:tr w:rsidR="0063054C" w:rsidRPr="0063054C" w:rsidTr="00FB4897">
        <w:trPr>
          <w:trHeight w:val="279"/>
          <w:jc w:val="right"/>
        </w:trPr>
        <w:tc>
          <w:tcPr>
            <w:tcW w:w="5873" w:type="dxa"/>
            <w:shd w:val="clear" w:color="auto" w:fill="auto"/>
            <w:noWrap/>
            <w:vAlign w:val="bottom"/>
            <w:hideMark/>
          </w:tcPr>
          <w:p w:rsidR="0063054C" w:rsidRPr="0063054C" w:rsidRDefault="0063054C" w:rsidP="006305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3054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Source: Eurostat                 </w:t>
            </w:r>
            <w:r w:rsidRPr="0063054C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Le Nouvel Observateur, 27/09/2007</w:t>
            </w:r>
          </w:p>
        </w:tc>
      </w:tr>
    </w:tbl>
    <w:p w:rsidR="0063054C" w:rsidRDefault="0063054C"/>
    <w:sectPr w:rsidR="0063054C" w:rsidSect="00DF69F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B95" w:rsidRDefault="00540B95" w:rsidP="0063054C">
      <w:pPr>
        <w:spacing w:after="0" w:line="240" w:lineRule="auto"/>
      </w:pPr>
      <w:r>
        <w:separator/>
      </w:r>
    </w:p>
  </w:endnote>
  <w:endnote w:type="continuationSeparator" w:id="0">
    <w:p w:rsidR="00540B95" w:rsidRDefault="00540B95" w:rsidP="00630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B95" w:rsidRDefault="00540B95" w:rsidP="0063054C">
      <w:pPr>
        <w:spacing w:after="0" w:line="240" w:lineRule="auto"/>
      </w:pPr>
      <w:r>
        <w:separator/>
      </w:r>
    </w:p>
  </w:footnote>
  <w:footnote w:type="continuationSeparator" w:id="0">
    <w:p w:rsidR="00540B95" w:rsidRDefault="00540B95" w:rsidP="00630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54C" w:rsidRDefault="0063054C">
    <w:pPr>
      <w:pStyle w:val="En-tte"/>
    </w:pPr>
    <w:r>
      <w:t>Suite : Série d’exercices (Commenter les données)</w:t>
    </w:r>
  </w:p>
  <w:p w:rsidR="0063054C" w:rsidRDefault="0063054C" w:rsidP="0063054C">
    <w:pPr>
      <w:pStyle w:val="En-tte"/>
      <w:jc w:val="center"/>
    </w:pPr>
    <w:r>
      <w:t>Taux de chômage des moins de 25 ans en Europe</w:t>
    </w:r>
  </w:p>
  <w:p w:rsidR="0063054C" w:rsidRDefault="0063054C" w:rsidP="0063054C">
    <w:pPr>
      <w:pStyle w:val="En-tte"/>
      <w:jc w:val="center"/>
    </w:pPr>
    <w:r>
      <w:t>Juillet 2007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24EE"/>
    <w:rsid w:val="00540B95"/>
    <w:rsid w:val="0063054C"/>
    <w:rsid w:val="00634298"/>
    <w:rsid w:val="007D6A57"/>
    <w:rsid w:val="00895C42"/>
    <w:rsid w:val="00A224EE"/>
    <w:rsid w:val="00DF69FA"/>
    <w:rsid w:val="00E4659C"/>
    <w:rsid w:val="00FB4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9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22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24E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630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3054C"/>
  </w:style>
  <w:style w:type="paragraph" w:styleId="Pieddepage">
    <w:name w:val="footer"/>
    <w:basedOn w:val="Normal"/>
    <w:link w:val="PieddepageCar"/>
    <w:uiPriority w:val="99"/>
    <w:semiHidden/>
    <w:unhideWhenUsed/>
    <w:rsid w:val="00630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305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0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barChart>
        <c:barDir val="bar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Série 1</c:v>
                </c:pt>
              </c:strCache>
            </c:strRef>
          </c:tx>
          <c:cat>
            <c:strRef>
              <c:f>Feuil1!$A$2:$A$10</c:f>
              <c:strCache>
                <c:ptCount val="9"/>
                <c:pt idx="0">
                  <c:v>France 21,9</c:v>
                </c:pt>
                <c:pt idx="1">
                  <c:v>Pologne 20</c:v>
                </c:pt>
                <c:pt idx="2">
                  <c:v>Espagne 18,3</c:v>
                </c:pt>
                <c:pt idx="3">
                  <c:v>Suède 16,4</c:v>
                </c:pt>
                <c:pt idx="4">
                  <c:v>UE (des 27) 15,4)</c:v>
                </c:pt>
                <c:pt idx="5">
                  <c:v>Royaune-Uni 15</c:v>
                </c:pt>
                <c:pt idx="6">
                  <c:v>Allemagne 11</c:v>
                </c:pt>
                <c:pt idx="7">
                  <c:v>Pays-Bas 7,2</c:v>
                </c:pt>
                <c:pt idx="8">
                  <c:v>Danemark 6,2</c:v>
                </c:pt>
              </c:strCache>
            </c:strRef>
          </c:cat>
          <c:val>
            <c:numRef>
              <c:f>Feuil1!$B$2:$B$10</c:f>
              <c:numCache>
                <c:formatCode>General</c:formatCode>
                <c:ptCount val="9"/>
                <c:pt idx="0">
                  <c:v>21.9</c:v>
                </c:pt>
                <c:pt idx="1">
                  <c:v>20</c:v>
                </c:pt>
                <c:pt idx="2">
                  <c:v>18.3</c:v>
                </c:pt>
                <c:pt idx="3">
                  <c:v>16.399999999999999</c:v>
                </c:pt>
                <c:pt idx="4">
                  <c:v>15.4</c:v>
                </c:pt>
                <c:pt idx="5">
                  <c:v>15</c:v>
                </c:pt>
                <c:pt idx="6">
                  <c:v>11</c:v>
                </c:pt>
                <c:pt idx="7">
                  <c:v>7.2</c:v>
                </c:pt>
                <c:pt idx="8">
                  <c:v>6.2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Colonne1</c:v>
                </c:pt>
              </c:strCache>
            </c:strRef>
          </c:tx>
          <c:cat>
            <c:strRef>
              <c:f>Feuil1!$A$2:$A$10</c:f>
              <c:strCache>
                <c:ptCount val="9"/>
                <c:pt idx="0">
                  <c:v>France 21,9</c:v>
                </c:pt>
                <c:pt idx="1">
                  <c:v>Pologne 20</c:v>
                </c:pt>
                <c:pt idx="2">
                  <c:v>Espagne 18,3</c:v>
                </c:pt>
                <c:pt idx="3">
                  <c:v>Suède 16,4</c:v>
                </c:pt>
                <c:pt idx="4">
                  <c:v>UE (des 27) 15,4)</c:v>
                </c:pt>
                <c:pt idx="5">
                  <c:v>Royaune-Uni 15</c:v>
                </c:pt>
                <c:pt idx="6">
                  <c:v>Allemagne 11</c:v>
                </c:pt>
                <c:pt idx="7">
                  <c:v>Pays-Bas 7,2</c:v>
                </c:pt>
                <c:pt idx="8">
                  <c:v>Danemark 6,2</c:v>
                </c:pt>
              </c:strCache>
            </c:strRef>
          </c:cat>
          <c:val>
            <c:numRef>
              <c:f>Feuil1!$C$2:$C$10</c:f>
              <c:numCache>
                <c:formatCode>General</c:formatCode>
                <c:ptCount val="9"/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Colonne2</c:v>
                </c:pt>
              </c:strCache>
            </c:strRef>
          </c:tx>
          <c:cat>
            <c:strRef>
              <c:f>Feuil1!$A$2:$A$10</c:f>
              <c:strCache>
                <c:ptCount val="9"/>
                <c:pt idx="0">
                  <c:v>France 21,9</c:v>
                </c:pt>
                <c:pt idx="1">
                  <c:v>Pologne 20</c:v>
                </c:pt>
                <c:pt idx="2">
                  <c:v>Espagne 18,3</c:v>
                </c:pt>
                <c:pt idx="3">
                  <c:v>Suède 16,4</c:v>
                </c:pt>
                <c:pt idx="4">
                  <c:v>UE (des 27) 15,4)</c:v>
                </c:pt>
                <c:pt idx="5">
                  <c:v>Royaune-Uni 15</c:v>
                </c:pt>
                <c:pt idx="6">
                  <c:v>Allemagne 11</c:v>
                </c:pt>
                <c:pt idx="7">
                  <c:v>Pays-Bas 7,2</c:v>
                </c:pt>
                <c:pt idx="8">
                  <c:v>Danemark 6,2</c:v>
                </c:pt>
              </c:strCache>
            </c:strRef>
          </c:cat>
          <c:val>
            <c:numRef>
              <c:f>Feuil1!$D$2:$D$10</c:f>
              <c:numCache>
                <c:formatCode>General</c:formatCode>
                <c:ptCount val="9"/>
              </c:numCache>
            </c:numRef>
          </c:val>
        </c:ser>
        <c:axId val="135048192"/>
        <c:axId val="139227904"/>
      </c:barChart>
      <c:catAx>
        <c:axId val="135048192"/>
        <c:scaling>
          <c:orientation val="minMax"/>
        </c:scaling>
        <c:axPos val="l"/>
        <c:tickLblPos val="nextTo"/>
        <c:crossAx val="139227904"/>
        <c:crosses val="autoZero"/>
        <c:auto val="1"/>
        <c:lblAlgn val="ctr"/>
        <c:lblOffset val="100"/>
      </c:catAx>
      <c:valAx>
        <c:axId val="139227904"/>
        <c:scaling>
          <c:orientation val="minMax"/>
        </c:scaling>
        <c:delete val="1"/>
        <c:axPos val="b"/>
        <c:majorGridlines/>
        <c:numFmt formatCode="General" sourceLinked="1"/>
        <c:tickLblPos val="none"/>
        <c:crossAx val="135048192"/>
        <c:crosses val="autoZero"/>
        <c:crossBetween val="between"/>
      </c:valAx>
    </c:plotArea>
    <c:legend>
      <c:legendPos val="r"/>
      <c:legendEntry>
        <c:idx val="0"/>
        <c:delete val="1"/>
      </c:legendEntry>
      <c:legendEntry>
        <c:idx val="1"/>
        <c:delete val="1"/>
      </c:legendEntry>
      <c:layout>
        <c:manualLayout>
          <c:xMode val="edge"/>
          <c:yMode val="edge"/>
          <c:x val="0.86871646252551771"/>
          <c:y val="0.43221066116735418"/>
          <c:w val="0.12896872265966755"/>
          <c:h val="0.18716597925259343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DCA67A-6C05-4B65-8EB7-C6BB9455D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2021-06-27T13:32:00Z</dcterms:created>
  <dcterms:modified xsi:type="dcterms:W3CDTF">2021-06-27T13:57:00Z</dcterms:modified>
</cp:coreProperties>
</file>