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D2" w:rsidRDefault="000B03D2" w:rsidP="000B03D2">
      <w:pPr>
        <w:bidi/>
        <w:spacing w:after="160" w:line="240" w:lineRule="auto"/>
        <w:jc w:val="center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إلحاق </w:t>
      </w:r>
      <w:proofErr w:type="spellStart"/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النواسخ</w:t>
      </w:r>
      <w:proofErr w:type="spellEnd"/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بالجملة الاسمية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3</w:t>
      </w:r>
    </w:p>
    <w:p w:rsidR="000B03D2" w:rsidRPr="0004059D" w:rsidRDefault="000B03D2" w:rsidP="000B03D2">
      <w:pPr>
        <w:bidi/>
        <w:spacing w:after="160" w:line="240" w:lineRule="auto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ظن وأخواتها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  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هي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أفعال ناسخة، لكنها ليست ناقصة بل هي تامة لها فاعل، وليس لها اسم ولا خبر، وإنما يعرب المبتدأ أو الخبر بعدها على أنهما مفعولين لها، نحو: الامتحانُ سهلٌ، ظن التلميذ الامتحانَ سهلاً.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وأخوات ظن هي: حسِب، خالَ، زعم، عدّ، رأى، علم، وجد، ألفى، درى، صيّر، ردّ، ترك، اتخذ، جعل.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جعلت "ظنّ" على رأس أخواتها لأن كل أفعال الرجحان بمعنى الظن، وظنّ أكثر استعمالا منها جميعا، وهي من حيث وظيفتها نوعان: أفعال القلوب وأفعال التحويل</w:t>
      </w:r>
    </w:p>
    <w:p w:rsidR="000B03D2" w:rsidRPr="00426E5E" w:rsidRDefault="000B03D2" w:rsidP="000B03D2">
      <w:pPr>
        <w:pStyle w:val="Paragraphedeliste"/>
        <w:numPr>
          <w:ilvl w:val="0"/>
          <w:numId w:val="2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أفعال</w:t>
      </w:r>
      <w:proofErr w:type="gramEnd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القلوب</w:t>
      </w:r>
      <w:r w:rsidRPr="00426E5E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: </w:t>
      </w:r>
      <w:r w:rsidRPr="00A63F45">
        <w:rPr>
          <w:sz w:val="32"/>
          <w:szCs w:val="32"/>
          <w:rtl/>
        </w:rPr>
        <w:t>وهي أفعال تتصل معانيها</w:t>
      </w:r>
      <w:r w:rsidRPr="00A63F4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با</w:t>
      </w:r>
      <w:r w:rsidRPr="00A63F45">
        <w:rPr>
          <w:sz w:val="32"/>
          <w:szCs w:val="32"/>
          <w:rtl/>
        </w:rPr>
        <w:t>لنفس الإنسانية، وتدل على يقين أو ظن</w:t>
      </w:r>
      <w:r>
        <w:rPr>
          <w:rFonts w:hint="cs"/>
          <w:sz w:val="32"/>
          <w:szCs w:val="32"/>
          <w:rtl/>
        </w:rPr>
        <w:t>، أو عليهما معا، و</w:t>
      </w:r>
      <w:r w:rsidRPr="00A63F4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تنقسم أفعال</w:t>
      </w:r>
      <w:r w:rsidRPr="00426E5E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ه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ذا النوع باعتبار معناها إلى ثلاث</w:t>
      </w:r>
      <w:r w:rsidRPr="00426E5E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ة أقسام</w:t>
      </w:r>
    </w:p>
    <w:p w:rsidR="000B03D2" w:rsidRDefault="000B03D2" w:rsidP="000B03D2">
      <w:pPr>
        <w:pStyle w:val="Paragraphedeliste"/>
        <w:numPr>
          <w:ilvl w:val="0"/>
          <w:numId w:val="3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أفعال اليقين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: هي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نوع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يفيد يقينا في الخبر، وهذه الأفعال هي:</w:t>
      </w:r>
    </w:p>
    <w:p w:rsidR="000B03D2" w:rsidRPr="001C4800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درى: بمعنى علم وتيقن،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ما درى الناسُ الدينَ يسرا</w:t>
      </w:r>
    </w:p>
    <w:p w:rsidR="000B03D2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وجد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نحو قوله تعالى: ووجدك ضالا فهدى، ووجدك عائلا فأغنى</w:t>
      </w:r>
    </w:p>
    <w:p w:rsidR="000B03D2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ألفى: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إنهم ألفَوا آباءهم ضالين</w:t>
      </w:r>
    </w:p>
    <w:p w:rsidR="000B03D2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تعلًّمْ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بسكون الميم (فعل جامد) لا يأتي منه المضارع والماضي، نحو: تعلّمْ شفاء النفسِ قهرَ عدوّها</w:t>
      </w:r>
    </w:p>
    <w:p w:rsidR="000B03D2" w:rsidRDefault="000B03D2" w:rsidP="000B03D2">
      <w:pPr>
        <w:pStyle w:val="Paragraphedeliste"/>
        <w:numPr>
          <w:ilvl w:val="0"/>
          <w:numId w:val="3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أفعال</w:t>
      </w:r>
      <w:proofErr w:type="gramEnd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الرجحان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وهي خمسة:</w:t>
      </w:r>
    </w:p>
    <w:p w:rsidR="000B03D2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جعل: بمعنى ظن،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جعل الصعب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سهلا</w:t>
      </w:r>
    </w:p>
    <w:p w:rsidR="000B03D2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حجا: بمعنى ظن، نحو كنت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أحجو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محمدا صاحبَ فضل</w:t>
      </w:r>
    </w:p>
    <w:p w:rsidR="000B03D2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زعم: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زعمت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علي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ًّ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 شجاع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ً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</w:t>
      </w:r>
    </w:p>
    <w:p w:rsidR="000B03D2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عدّ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بمعنى ظن، نحو قول الشاعر: فلا تعد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ُ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د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ِ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المولى شريك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َ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ك في الغنى</w:t>
      </w:r>
    </w:p>
    <w:p w:rsidR="000B03D2" w:rsidRDefault="000B03D2" w:rsidP="000B03D2">
      <w:pPr>
        <w:bidi/>
        <w:spacing w:after="160" w:line="240" w:lineRule="auto"/>
        <w:ind w:left="50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lastRenderedPageBreak/>
        <w:t xml:space="preserve">هّبْ: بمعنى ظنّ،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ه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َ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ْ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محمدا مجتهدا</w:t>
      </w:r>
    </w:p>
    <w:p w:rsidR="000B03D2" w:rsidRDefault="000B03D2" w:rsidP="000B03D2">
      <w:pPr>
        <w:pStyle w:val="Paragraphedeliste"/>
        <w:numPr>
          <w:ilvl w:val="0"/>
          <w:numId w:val="1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أفعال تدل على اليقين والرجحان: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وهي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خمسة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رأى: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إنهم يرون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َ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ه بعيدا ونراه قريبا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علم</w:t>
      </w:r>
      <w:r w:rsidR="00A56F05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بمعنى اعتقد، نحو قوله تعالى: فإن علمتموهن مؤمناتٍ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ظن: نحو قوله تعالى: وإني لأظنك يا فرعون مثبورا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حسِبَ: فلما رأته حسبته لُجةً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خالَ: خلت الكتابَ مقدسا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كل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الأفعال السابقة تنصب مفعولين، وهناك قسم آخر ينصب ثلاثة مفاعيل، أصل المفعول الثاني والثالث مبدأ وخبرا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116A49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القسم الذي ينصب </w:t>
      </w:r>
      <w:proofErr w:type="gramStart"/>
      <w:r w:rsidRPr="00116A49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ثلاثة</w:t>
      </w:r>
      <w:proofErr w:type="gramEnd"/>
      <w:r w:rsidRPr="00116A49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مفاعيل: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116A49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</w:t>
      </w:r>
      <w:r w:rsidRPr="00116A49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فعال القلبية التي تتعدى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إلى ثلاثة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مفاعيل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هي: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أعلمَ: عليٌّ ناجحٌ، أعلمت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محمدا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عليا ناجحا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أرى: نحو قوله تعالى: كذلك يريهم اللهُ أعمالَهم حسراتٍ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خبّر: خبّرت زيدا محمودا غائبا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أخبر: أخبرت المديرَ المعلمَ غائبا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نبّأ: نبّأت عمرا الجوَّ حارّا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أنبأ: أنبأت أباك زيدا مسافرا</w:t>
      </w:r>
    </w:p>
    <w:p w:rsidR="000B03D2" w:rsidRDefault="000B03D2" w:rsidP="000B03D2">
      <w:pPr>
        <w:pStyle w:val="Paragraphedeliste"/>
        <w:numPr>
          <w:ilvl w:val="0"/>
          <w:numId w:val="2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أفعال</w:t>
      </w:r>
      <w:proofErr w:type="gramEnd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التحويل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وهي أفعال تنصب مفعولين أصلهما مبتدأ وخبرا</w:t>
      </w:r>
    </w:p>
    <w:p w:rsidR="000B03D2" w:rsidRDefault="000B03D2" w:rsidP="000B03D2">
      <w:pPr>
        <w:bidi/>
        <w:spacing w:after="160" w:line="240" w:lineRule="auto"/>
        <w:ind w:left="14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صيّر: صيَّر النجارُ الخشبَ بابا</w:t>
      </w:r>
    </w:p>
    <w:p w:rsidR="000B03D2" w:rsidRDefault="000B03D2" w:rsidP="000B03D2">
      <w:pPr>
        <w:bidi/>
        <w:spacing w:after="160" w:line="240" w:lineRule="auto"/>
        <w:ind w:left="14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جعل: بمعنى حوَّل: والذي جعل الشمسَ ضياءً</w:t>
      </w:r>
    </w:p>
    <w:p w:rsidR="000B03D2" w:rsidRDefault="000B03D2" w:rsidP="000B03D2">
      <w:pPr>
        <w:bidi/>
        <w:spacing w:after="160" w:line="240" w:lineRule="auto"/>
        <w:ind w:left="14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lastRenderedPageBreak/>
        <w:t xml:space="preserve">ردَّ: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بمعنى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حوّل وصيّر: يردونكم بعد إيمانكم كافرين</w:t>
      </w:r>
    </w:p>
    <w:p w:rsidR="000B03D2" w:rsidRDefault="00A56F05" w:rsidP="000B03D2">
      <w:pPr>
        <w:bidi/>
        <w:spacing w:after="160" w:line="240" w:lineRule="auto"/>
        <w:ind w:left="14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ترك بمعنى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حوّل</w:t>
      </w:r>
      <w:proofErr w:type="gramEnd"/>
      <w:r w:rsidR="000B03D2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ترك حبُّ المال زميلَك ماد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ّ</w:t>
      </w:r>
      <w:r w:rsidR="000B03D2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ي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ًّ</w:t>
      </w:r>
      <w:r w:rsidR="000B03D2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ا، أي صيره</w:t>
      </w:r>
    </w:p>
    <w:p w:rsidR="000B03D2" w:rsidRDefault="000B03D2" w:rsidP="000B03D2">
      <w:pPr>
        <w:bidi/>
        <w:spacing w:after="160" w:line="240" w:lineRule="auto"/>
        <w:ind w:left="14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اتخذ: بمعنى صيّر وحوّل: اتّخذ اللهُ إبراهيمَ خليلا</w:t>
      </w:r>
    </w:p>
    <w:p w:rsidR="000B03D2" w:rsidRPr="00A56F05" w:rsidRDefault="000B03D2" w:rsidP="000B03D2">
      <w:pPr>
        <w:bidi/>
        <w:spacing w:after="160" w:line="240" w:lineRule="auto"/>
        <w:ind w:left="142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أحكام ظن وأخواتها</w:t>
      </w:r>
    </w:p>
    <w:p w:rsidR="000B03D2" w:rsidRDefault="000B03D2" w:rsidP="000B03D2">
      <w:pPr>
        <w:bidi/>
        <w:spacing w:after="160" w:line="240" w:lineRule="auto"/>
        <w:ind w:left="142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لظن وأخواتها ثلاثة أحكام: الإعمال والتعليق والإلغاء</w:t>
      </w:r>
    </w:p>
    <w:p w:rsidR="000B03D2" w:rsidRDefault="000B03D2" w:rsidP="000B03D2">
      <w:pPr>
        <w:pStyle w:val="Paragraphedeliste"/>
        <w:numPr>
          <w:ilvl w:val="0"/>
          <w:numId w:val="4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الإعمال</w:t>
      </w:r>
      <w:proofErr w:type="gramEnd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وهي التي تنصب المفعولين بعدها لفظا ومحلا، نحو: ظننت زيدا قائما</w:t>
      </w:r>
    </w:p>
    <w:p w:rsidR="000B03D2" w:rsidRDefault="000B03D2" w:rsidP="000B03D2">
      <w:pPr>
        <w:pStyle w:val="Paragraphedeliste"/>
        <w:numPr>
          <w:ilvl w:val="0"/>
          <w:numId w:val="4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التعليق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وهو |إلغاء عمل الفعل القلبي لفظا وإبقاؤه محلا لوجود مانع، وإليك الحالات التي يجب فيها التعليق:</w:t>
      </w:r>
    </w:p>
    <w:p w:rsidR="000B03D2" w:rsidRDefault="000B03D2" w:rsidP="000B03D2">
      <w:pPr>
        <w:pStyle w:val="Paragraphedeliste"/>
        <w:numPr>
          <w:ilvl w:val="0"/>
          <w:numId w:val="5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 w:rsidRPr="00F068A1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</w:t>
      </w:r>
      <w:proofErr w:type="gramEnd"/>
      <w:r w:rsidRPr="00F068A1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جاء بعد الفعل (إنْ) النافية، نحو: علمت إنْ زيدٌ قائمٌ، 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أو (لا)، نحو: ظننتُ لا زيدٌ قائمٌ، إنْ ولا نافيتان، وزيد قائم مبتدأ وخبر، ومحلهما النصب</w:t>
      </w:r>
    </w:p>
    <w:p w:rsidR="000B03D2" w:rsidRDefault="000B03D2" w:rsidP="000B03D2">
      <w:pPr>
        <w:pStyle w:val="Paragraphedeliste"/>
        <w:numPr>
          <w:ilvl w:val="0"/>
          <w:numId w:val="5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جاء بعد لام الابتداء نحو: ظننتُ لزيدٌ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قائمٌ</w:t>
      </w:r>
      <w:proofErr w:type="gramEnd"/>
    </w:p>
    <w:p w:rsidR="000B03D2" w:rsidRDefault="000B03D2" w:rsidP="000B03D2">
      <w:pPr>
        <w:pStyle w:val="Paragraphedeliste"/>
        <w:numPr>
          <w:ilvl w:val="0"/>
          <w:numId w:val="5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جاء بعد الفعل لام القسم/ نحو: علمت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ليقومنّ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زيدٌ</w:t>
      </w:r>
    </w:p>
    <w:p w:rsidR="000B03D2" w:rsidRDefault="000B03D2" w:rsidP="000B03D2">
      <w:pPr>
        <w:pStyle w:val="Paragraphedeliste"/>
        <w:numPr>
          <w:ilvl w:val="0"/>
          <w:numId w:val="5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إذا جاء بعد الفعل أداة استفهام،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علمت أزيدٌ عندك أم عمرو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كل هذه الأمثلة يعرب الاسمان </w:t>
      </w:r>
      <w:r w:rsidRPr="009019E9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مبتدأ وخبرا، والجملة في محل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نصب مفعول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للفعل القلبي</w:t>
      </w:r>
    </w:p>
    <w:p w:rsidR="000B03D2" w:rsidRDefault="000B03D2" w:rsidP="000B03D2">
      <w:p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الإلغاء</w:t>
      </w:r>
      <w:proofErr w:type="gramEnd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وهو إبطال عمل الفعل القلبي لفظا ومحلا، وله سببان</w:t>
      </w:r>
    </w:p>
    <w:p w:rsidR="000B03D2" w:rsidRDefault="000B03D2" w:rsidP="000B03D2">
      <w:pPr>
        <w:pStyle w:val="Paragraphedeliste"/>
        <w:numPr>
          <w:ilvl w:val="0"/>
          <w:numId w:val="6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أن تتقدم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المعمولات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على ظن وأخواتها، مثل زيدٌ قائمٌ ظننت</w:t>
      </w:r>
    </w:p>
    <w:p w:rsidR="000B03D2" w:rsidRDefault="000B03D2" w:rsidP="000B03D2">
      <w:pPr>
        <w:pStyle w:val="Paragraphedeliste"/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فزيد مبتدأ،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قائم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خبر، ظننت فعل وفاعل</w:t>
      </w:r>
    </w:p>
    <w:p w:rsidR="000B03D2" w:rsidRDefault="000B03D2" w:rsidP="000B03D2">
      <w:pPr>
        <w:pStyle w:val="Paragraphedeliste"/>
        <w:numPr>
          <w:ilvl w:val="0"/>
          <w:numId w:val="6"/>
        </w:numPr>
        <w:bidi/>
        <w:spacing w:after="160" w:line="240" w:lineRule="auto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أن يتوسط العامل ظن أو إحدى أخواتها بين المفعولين، نحو: زيدٌ ظننتُ كريمٌ</w:t>
      </w:r>
    </w:p>
    <w:p w:rsidR="000B03D2" w:rsidRDefault="000B03D2" w:rsidP="000B03D2">
      <w:pPr>
        <w:bidi/>
        <w:spacing w:after="160" w:line="240" w:lineRule="auto"/>
        <w:ind w:left="360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ويجوز الإعمال أيضا، فنقول: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زيدا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ظننت قائما، والإعمال والإهمال متساويان في هذه الحالة.</w:t>
      </w:r>
    </w:p>
    <w:p w:rsidR="005B4F1F" w:rsidRPr="000B03D2" w:rsidRDefault="000B03D2" w:rsidP="000B03D2">
      <w:pPr>
        <w:bidi/>
        <w:rPr>
          <w:sz w:val="32"/>
          <w:szCs w:val="32"/>
        </w:rPr>
      </w:pPr>
      <w:proofErr w:type="gramStart"/>
      <w:r w:rsidRPr="00A56F05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ملاحظة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أفعال القلوب غير المتصرفة (هبْ وتعلَّمْ) لا يكون فيها التعليق ولا الإلغاء.</w:t>
      </w:r>
    </w:p>
    <w:sectPr w:rsidR="005B4F1F" w:rsidRPr="000B03D2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AF5"/>
    <w:multiLevelType w:val="hybridMultilevel"/>
    <w:tmpl w:val="9A74EB3E"/>
    <w:lvl w:ilvl="0" w:tplc="264A40C8">
      <w:start w:val="1"/>
      <w:numFmt w:val="arabicAlpha"/>
      <w:lvlText w:val="%1-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863AAE"/>
    <w:multiLevelType w:val="hybridMultilevel"/>
    <w:tmpl w:val="AA366282"/>
    <w:lvl w:ilvl="0" w:tplc="A7748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0C2"/>
    <w:multiLevelType w:val="hybridMultilevel"/>
    <w:tmpl w:val="0412A85C"/>
    <w:lvl w:ilvl="0" w:tplc="06D2FA90">
      <w:start w:val="1"/>
      <w:numFmt w:val="arabicAlpha"/>
      <w:lvlText w:val="%1-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DAE1D19"/>
    <w:multiLevelType w:val="hybridMultilevel"/>
    <w:tmpl w:val="21C01608"/>
    <w:lvl w:ilvl="0" w:tplc="715C65B2">
      <w:start w:val="1"/>
      <w:numFmt w:val="decimal"/>
      <w:lvlText w:val="%1-"/>
      <w:lvlJc w:val="left"/>
      <w:pPr>
        <w:ind w:left="502" w:hanging="360"/>
      </w:pPr>
      <w:rPr>
        <w:rFonts w:ascii="Simplified Arabic" w:eastAsiaTheme="minorHAnsi" w:hAnsi="Simplified Arabic" w:cs="Simplified Arabic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0E5CC5"/>
    <w:multiLevelType w:val="hybridMultilevel"/>
    <w:tmpl w:val="A0B85142"/>
    <w:lvl w:ilvl="0" w:tplc="6B82F5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443438"/>
    <w:multiLevelType w:val="hybridMultilevel"/>
    <w:tmpl w:val="F3443FBE"/>
    <w:lvl w:ilvl="0" w:tplc="C4B6F8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3D2"/>
    <w:rsid w:val="000A53BD"/>
    <w:rsid w:val="000B03D2"/>
    <w:rsid w:val="005B4F1F"/>
    <w:rsid w:val="00A56F05"/>
    <w:rsid w:val="00E24424"/>
    <w:rsid w:val="00F7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2021-05-22T21:01:00Z</dcterms:created>
  <dcterms:modified xsi:type="dcterms:W3CDTF">2021-05-22T21:15:00Z</dcterms:modified>
</cp:coreProperties>
</file>