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07" w:rsidRPr="0004059D" w:rsidRDefault="007D6707" w:rsidP="007D6707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proofErr w:type="gramStart"/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المحاضرة</w:t>
      </w:r>
      <w:proofErr w:type="gramEnd"/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السادسة</w:t>
      </w:r>
    </w:p>
    <w:p w:rsidR="007D6707" w:rsidRDefault="007D6707" w:rsidP="007D6707">
      <w:pPr>
        <w:tabs>
          <w:tab w:val="left" w:pos="1002"/>
          <w:tab w:val="center" w:pos="4896"/>
        </w:tabs>
        <w:bidi/>
        <w:spacing w:after="160" w:line="240" w:lineRule="auto"/>
        <w:ind w:left="720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ab/>
      </w:r>
      <w:r w:rsidRPr="00AD472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إن وأخواتها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   إنّ</w:t>
      </w:r>
      <w:r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2"/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وأخواتها حروف ناسخة، أي تدخل على المبتدأ والخبر فتنصب الأول ويسمى اسمها وترفع الثاني ويسمى خبرها، نحو اللهُ كريمٌ </w:t>
      </w:r>
      <w:r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إن اللهَ كريمٌ، الدينُ يسرٌ- إن الدينَ يسرٌ، ومن أخوات (إنّ): كأنّ، لكنّ، ليت، لعلّ</w:t>
      </w:r>
      <w:r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3"/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وكلها تعمل عمل (إن)، فتنصب المبتدأ، وترفع الخبر.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:- خالد أبوه عالمٌ لكنّ أخاه جاهلٌ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ليت الكتابَ موجودٌ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لعلّ أخاك قادمٌ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كأن الطفلَ رجلٌ</w:t>
      </w:r>
    </w:p>
    <w:p w:rsidR="007D6707" w:rsidRPr="00724A1B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1D1B11" w:themeColor="background2" w:themeShade="1A"/>
          <w:sz w:val="32"/>
          <w:szCs w:val="32"/>
          <w:lang w:bidi="ar-DZ"/>
        </w:rPr>
      </w:pPr>
      <w:r w:rsidRPr="00724A1B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وتسمى</w:t>
      </w:r>
      <w:r w:rsidRPr="00724A1B">
        <w:rPr>
          <w:sz w:val="32"/>
          <w:szCs w:val="32"/>
          <w:rtl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أيضا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>با</w:t>
      </w:r>
      <w:r w:rsidRPr="00724A1B">
        <w:rPr>
          <w:color w:val="1D1B11" w:themeColor="background2" w:themeShade="1A"/>
          <w:sz w:val="32"/>
          <w:szCs w:val="32"/>
          <w:rtl/>
        </w:rPr>
        <w:t>لحروف المشبهة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>با</w:t>
      </w:r>
      <w:r w:rsidRPr="00724A1B">
        <w:rPr>
          <w:color w:val="1D1B11" w:themeColor="background2" w:themeShade="1A"/>
          <w:sz w:val="32"/>
          <w:szCs w:val="32"/>
          <w:rtl/>
        </w:rPr>
        <w:t>لفعل، ووجه الشبه في ذلك هو</w:t>
      </w:r>
      <w:r w:rsidRPr="00724A1B">
        <w:rPr>
          <w:color w:val="1D1B11" w:themeColor="background2" w:themeShade="1A"/>
          <w:sz w:val="32"/>
          <w:szCs w:val="32"/>
        </w:rPr>
        <w:t>:</w:t>
      </w:r>
    </w:p>
    <w:p w:rsidR="007D6707" w:rsidRPr="00724A1B" w:rsidRDefault="007D6707" w:rsidP="007D6707">
      <w:pPr>
        <w:bidi/>
        <w:spacing w:after="160" w:line="240" w:lineRule="auto"/>
        <w:rPr>
          <w:color w:val="1D1B11" w:themeColor="background2" w:themeShade="1A"/>
          <w:sz w:val="32"/>
          <w:szCs w:val="32"/>
          <w:rtl/>
        </w:rPr>
      </w:pPr>
      <w:r w:rsidRPr="00724A1B">
        <w:rPr>
          <w:color w:val="1D1B11" w:themeColor="background2" w:themeShade="1A"/>
          <w:sz w:val="32"/>
          <w:szCs w:val="32"/>
        </w:rPr>
        <w:t xml:space="preserve">- 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بناء أواخرها على الفتح، نظير بناء الأفعال الماضي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>ة.</w:t>
      </w:r>
    </w:p>
    <w:p w:rsidR="007D6707" w:rsidRPr="00724A1B" w:rsidRDefault="007D6707" w:rsidP="007D6707">
      <w:pPr>
        <w:bidi/>
        <w:spacing w:after="160" w:line="240" w:lineRule="auto"/>
        <w:rPr>
          <w:color w:val="1D1B11" w:themeColor="background2" w:themeShade="1A"/>
          <w:sz w:val="32"/>
          <w:szCs w:val="32"/>
          <w:rtl/>
        </w:rPr>
      </w:pPr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- 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وضع أغلبها على ثلاثة أحرف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>.</w:t>
      </w:r>
    </w:p>
    <w:p w:rsidR="007D6707" w:rsidRPr="00724A1B" w:rsidRDefault="007D6707" w:rsidP="007D6707">
      <w:pPr>
        <w:bidi/>
        <w:spacing w:after="160" w:line="240" w:lineRule="auto"/>
        <w:rPr>
          <w:color w:val="1D1B11" w:themeColor="background2" w:themeShade="1A"/>
          <w:sz w:val="32"/>
          <w:szCs w:val="32"/>
          <w:rtl/>
        </w:rPr>
      </w:pPr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- 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حاجتها إلى منصوب ومرفوع، كما يكون ذلك في الفعل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>.</w:t>
      </w:r>
    </w:p>
    <w:p w:rsidR="007D6707" w:rsidRDefault="007D6707" w:rsidP="007D6707">
      <w:pPr>
        <w:bidi/>
        <w:spacing w:after="160" w:line="240" w:lineRule="auto"/>
        <w:rPr>
          <w:color w:val="1D1B11" w:themeColor="background2" w:themeShade="1A"/>
          <w:sz w:val="32"/>
          <w:szCs w:val="32"/>
          <w:rtl/>
        </w:rPr>
      </w:pPr>
      <w:proofErr w:type="gramStart"/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- </w:t>
      </w:r>
      <w:r w:rsidRPr="00724A1B">
        <w:rPr>
          <w:color w:val="1D1B11" w:themeColor="background2" w:themeShade="1A"/>
          <w:sz w:val="32"/>
          <w:szCs w:val="32"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دخول</w:t>
      </w:r>
      <w:proofErr w:type="gramEnd"/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 </w:t>
      </w:r>
      <w:r w:rsidRPr="00724A1B">
        <w:rPr>
          <w:color w:val="1D1B11" w:themeColor="background2" w:themeShade="1A"/>
          <w:sz w:val="32"/>
          <w:szCs w:val="32"/>
          <w:rtl/>
        </w:rPr>
        <w:t>نون الوقاية عليها، نحو إنّني، كأنّني، لكنّني، كدخولها</w:t>
      </w:r>
      <w:r w:rsidRPr="00724A1B">
        <w:rPr>
          <w:rFonts w:hint="cs"/>
          <w:color w:val="1D1B11" w:themeColor="background2" w:themeShade="1A"/>
          <w:sz w:val="32"/>
          <w:szCs w:val="32"/>
          <w:rtl/>
        </w:rPr>
        <w:t xml:space="preserve"> على الأفعال.</w:t>
      </w:r>
    </w:p>
    <w:p w:rsidR="007D6707" w:rsidRDefault="007D6707" w:rsidP="007D6707">
      <w:pPr>
        <w:bidi/>
        <w:spacing w:after="160" w:line="240" w:lineRule="auto"/>
        <w:rPr>
          <w:color w:val="1D1B11" w:themeColor="background2" w:themeShade="1A"/>
          <w:sz w:val="32"/>
          <w:szCs w:val="32"/>
          <w:rtl/>
        </w:rPr>
      </w:pPr>
    </w:p>
    <w:p w:rsidR="007D6707" w:rsidRDefault="007D6707" w:rsidP="007D6707">
      <w:pPr>
        <w:bidi/>
        <w:spacing w:after="160" w:line="240" w:lineRule="auto"/>
        <w:rPr>
          <w:color w:val="1D1B11" w:themeColor="background2" w:themeShade="1A"/>
          <w:sz w:val="32"/>
          <w:szCs w:val="32"/>
          <w:rtl/>
        </w:rPr>
      </w:pPr>
    </w:p>
    <w:p w:rsidR="007D6707" w:rsidRPr="00724A1B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1D1B11" w:themeColor="background2" w:themeShade="1A"/>
          <w:sz w:val="32"/>
          <w:szCs w:val="32"/>
          <w:lang w:bidi="ar-DZ"/>
        </w:rPr>
      </w:pPr>
    </w:p>
    <w:p w:rsidR="007D6707" w:rsidRPr="00724A1B" w:rsidRDefault="007D6707" w:rsidP="007D6707">
      <w:pPr>
        <w:bidi/>
        <w:spacing w:after="16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  <w:lang w:bidi="ar-DZ"/>
        </w:rPr>
      </w:pPr>
      <w:proofErr w:type="gramStart"/>
      <w:r w:rsidRPr="00724A1B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  <w:lang w:bidi="ar-DZ"/>
        </w:rPr>
        <w:lastRenderedPageBreak/>
        <w:t>شروط</w:t>
      </w:r>
      <w:proofErr w:type="gramEnd"/>
      <w:r w:rsidRPr="00724A1B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  <w:lang w:bidi="ar-DZ"/>
        </w:rPr>
        <w:t xml:space="preserve"> عملها: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يشترط في عمل هذه الحروف ألا تتصل بها ما الزائدة الكافة عن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العمل</w:t>
      </w:r>
      <w:r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4"/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فإن اتصلت بها كفتها عن العمل، نحو إنما أخوك مجتهدٌ، فأخوك يعرب مبتدأ، لا اسم أنّ، كأنما المؤمنون إخوة، وتسمى "ما" هذه "الكافة". </w:t>
      </w:r>
    </w:p>
    <w:p w:rsidR="007D6707" w:rsidRPr="008317F2" w:rsidRDefault="007D6707" w:rsidP="007D6707">
      <w:pPr>
        <w:bidi/>
        <w:spacing w:after="160" w:line="240" w:lineRule="auto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proofErr w:type="gramStart"/>
      <w:r w:rsidRPr="008317F2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أحوال</w:t>
      </w:r>
      <w:proofErr w:type="gramEnd"/>
      <w:r w:rsidRPr="008317F2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اسم إن وخبرها: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 w:rsidRPr="00513E92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يجب</w:t>
      </w:r>
      <w:proofErr w:type="gramEnd"/>
      <w:r w:rsidRPr="00513E92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تأخير خبر إن عن اسمها إذا لم يكن شبه جملة، نحو: إن الصدقَ نجاةٌ، إن أخاك مجتهدٌ.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يجب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تقديم خبر إن عن اسمها إذا كان الخبر شبه جملة (ظرفا أو جارا ومجرورا)، و الاسم نكرة، نحو: إن في ذلك لآيةً، إن عندك ضيفا.</w:t>
      </w:r>
    </w:p>
    <w:p w:rsidR="007D6707" w:rsidRDefault="007D6707" w:rsidP="007D6707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كما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يجب تقديم خبر إن إذا كان في الاسم ضمير يعود على الخبر نحو: إن في البيت صاحبَه، لكن للقضية أسبابها.</w:t>
      </w:r>
    </w:p>
    <w:p w:rsidR="007D6707" w:rsidRPr="0004059D" w:rsidRDefault="007D6707" w:rsidP="007D6707">
      <w:pPr>
        <w:bidi/>
        <w:spacing w:after="160" w:line="240" w:lineRule="auto"/>
        <w:ind w:left="720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تخفيف بعض أخوات إنّ:</w:t>
      </w:r>
    </w:p>
    <w:p w:rsidR="007D6707" w:rsidRDefault="007D6707" w:rsidP="007D6707">
      <w:pPr>
        <w:bidi/>
        <w:spacing w:after="160" w:line="240" w:lineRule="auto"/>
        <w:ind w:left="720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قد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تخفف إنّ، كأنّ، لكنّ، أنّ، فتحذف إحدى نونيها، ويؤتى بالنون ساكنة لا مشددة، فيبطل عملها في الجملة، ويكون ما بعدها جملة اسمية أو فعلية.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D72DA7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</w:t>
      </w:r>
      <w:proofErr w:type="gramStart"/>
      <w:r w:rsidRPr="00D72DA7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إنّ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" إذا خففت تصير "إنْ" وجاز إعمالها أو إهمالها، وإذا أهملت دخلت لام الابتداء على خبرها فارقة بين الإعمال والإهمال.</w:t>
      </w:r>
    </w:p>
    <w:p w:rsidR="007D6707" w:rsidRDefault="007D6707" w:rsidP="007D6707">
      <w:pPr>
        <w:bidi/>
        <w:spacing w:after="160" w:line="240" w:lineRule="auto"/>
        <w:ind w:left="720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نقول في الإهمال: - إنِ البخلُ لعارٌ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                        -إن ْ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أخوك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لعالمٌ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في هاتين الحالتين أهملت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إن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وما بعدها مبتدأ وخبر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ونقول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في الإعمال: - إنِ البخلَ عارٌ وإنْ أخاك عالمُ، في هذه الحالة أعملت إن وما بعدها اسم وخبر لها.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D72DA7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lastRenderedPageBreak/>
        <w:t>"</w:t>
      </w:r>
      <w:proofErr w:type="gramStart"/>
      <w:r w:rsidRPr="00D72DA7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أنّ</w:t>
      </w:r>
      <w:proofErr w:type="gramEnd"/>
      <w:r w:rsidRPr="00D72DA7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</w:t>
      </w: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خففت سبقت بفعل ظن</w:t>
      </w:r>
      <w:r w:rsidR="00DC6A4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ٍّ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أو يقين</w:t>
      </w:r>
      <w:r w:rsidR="00DC6A4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ٍ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ولا </w:t>
      </w:r>
      <w:proofErr w:type="spell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تهمل</w:t>
      </w:r>
      <w:proofErr w:type="spell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ويقدر بعدها ضمير الشأن محذوفا وهو اسمها، وتكون الجملة بعدها خبرا لها.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نقول: أيقن المتهم أنْ سجنه غير مؤقت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علم الكسول أنْ سيكون نجاحه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مستحيلا</w:t>
      </w:r>
      <w:proofErr w:type="gramEnd"/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ظن المجرم أنْ لن يعاقب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التقدير فيها جميعا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أنه</w:t>
      </w:r>
      <w:proofErr w:type="gramEnd"/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0C548C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</w:t>
      </w:r>
      <w:proofErr w:type="gramStart"/>
      <w:r w:rsidRPr="000C548C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كأنّ</w:t>
      </w:r>
      <w:proofErr w:type="gramEnd"/>
      <w:r w:rsidRPr="000C548C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إذا خففت فالأغلب أنها تبقى عاملة واسمها يكون ضميرا محذوفا (ضمير الشأن)، ويكون خبرها الجملة المفسرة، ويصدر الفعل بعدها بلم أو قد.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كأنْ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قد طلع الفجر التقدير كأنْه قد طلع الفجر، اسم كأن ضمير الشأن المحذوف، والجملة المفسرة في محل رفع خبر.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0C548C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</w:t>
      </w:r>
      <w:proofErr w:type="gramStart"/>
      <w:r w:rsidRPr="000C548C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لكنّ</w:t>
      </w:r>
      <w:proofErr w:type="gramEnd"/>
      <w:r w:rsidRPr="000C548C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</w:t>
      </w: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خففت صارت "لكنْ" وأهملت وأبطل عملها وجوبا، وجاز دخولها على الجملة الاسمية والفعلية، إذ تصبح حرف استدراك ليس إلا.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حكى</w:t>
      </w:r>
      <w:proofErr w:type="spell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لي كلاما كثيرا لكنِ الحقيقة غير ذلك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"لكنِ الراسخون في العلم منهم والمؤمنون يؤمنون بما انزل إليك"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هذين المثالين أهملت لكن وما بعدها مبتدأ وخبرا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6435B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</w:t>
      </w:r>
      <w:proofErr w:type="gramStart"/>
      <w:r w:rsidRPr="006435B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إنّ</w:t>
      </w:r>
      <w:proofErr w:type="gramEnd"/>
      <w:r w:rsidRPr="006435B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"</w:t>
      </w: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 خففت كثر إهمالها إن وليها اسم، فإن وليها فعل وجب الإهمال، ولا يصح أن يقدر اسمها ضمير الشأن وخبرها جملة فعلية.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إنْ كلٌّ لما لدينا محضرون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ويجوز إعمالها استصحابا بالأصل نحو: "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وإنْ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كلا لما ليوفينهم"</w:t>
      </w:r>
    </w:p>
    <w:p w:rsidR="007D6707" w:rsidRDefault="007D6707" w:rsidP="007D670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5B4F1F" w:rsidRPr="00DC6A45" w:rsidRDefault="005B4F1F" w:rsidP="00DC6A45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</w:p>
    <w:sectPr w:rsidR="005B4F1F" w:rsidRPr="00DC6A45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F9D" w:rsidRDefault="001A5F9D" w:rsidP="007D6707">
      <w:pPr>
        <w:spacing w:after="0" w:line="240" w:lineRule="auto"/>
      </w:pPr>
      <w:r>
        <w:separator/>
      </w:r>
    </w:p>
  </w:endnote>
  <w:endnote w:type="continuationSeparator" w:id="1">
    <w:p w:rsidR="001A5F9D" w:rsidRDefault="001A5F9D" w:rsidP="007D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F9D" w:rsidRDefault="001A5F9D" w:rsidP="007D6707">
      <w:pPr>
        <w:spacing w:after="0" w:line="240" w:lineRule="auto"/>
      </w:pPr>
      <w:r>
        <w:separator/>
      </w:r>
    </w:p>
  </w:footnote>
  <w:footnote w:type="continuationSeparator" w:id="1">
    <w:p w:rsidR="001A5F9D" w:rsidRDefault="001A5F9D" w:rsidP="007D6707">
      <w:pPr>
        <w:spacing w:after="0" w:line="240" w:lineRule="auto"/>
      </w:pPr>
      <w:r>
        <w:continuationSeparator/>
      </w:r>
    </w:p>
  </w:footnote>
  <w:footnote w:id="2">
    <w:p w:rsidR="007D6707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sz w:val="28"/>
          <w:szCs w:val="28"/>
          <w:rtl/>
        </w:rPr>
        <w:t>من المواضع التي تكسر فيها همزة "إن" ما يلي:</w:t>
      </w:r>
    </w:p>
    <w:p w:rsidR="007D6707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إذا وقعت في أول الكلام، نحوك </w:t>
      </w:r>
      <w:proofErr w:type="gramStart"/>
      <w:r>
        <w:rPr>
          <w:rFonts w:hint="cs"/>
          <w:sz w:val="28"/>
          <w:szCs w:val="28"/>
          <w:rtl/>
        </w:rPr>
        <w:t>إن</w:t>
      </w:r>
      <w:proofErr w:type="gramEnd"/>
      <w:r>
        <w:rPr>
          <w:rFonts w:hint="cs"/>
          <w:sz w:val="28"/>
          <w:szCs w:val="28"/>
          <w:rtl/>
        </w:rPr>
        <w:t xml:space="preserve"> الحياةَ عملٌ، إنك فاضلٌ</w:t>
      </w:r>
    </w:p>
    <w:p w:rsidR="007D6707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 </w:t>
      </w:r>
      <w:proofErr w:type="gramStart"/>
      <w:r>
        <w:rPr>
          <w:rFonts w:hint="cs"/>
          <w:sz w:val="28"/>
          <w:szCs w:val="28"/>
          <w:rtl/>
        </w:rPr>
        <w:t>أن</w:t>
      </w:r>
      <w:proofErr w:type="gramEnd"/>
      <w:r>
        <w:rPr>
          <w:rFonts w:hint="cs"/>
          <w:sz w:val="28"/>
          <w:szCs w:val="28"/>
          <w:rtl/>
        </w:rPr>
        <w:t xml:space="preserve"> تقع في جملة محكية بالقول، غير متضمن معنى الشك، نحو: قلت إنّ الحق معك، قال إنه لا يأتي</w:t>
      </w:r>
    </w:p>
    <w:p w:rsidR="007D6707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 إن تقع جوابا للقسم وفي خبرها اللام، نحو: والله إنك لمقصّرٌ في واجباتك</w:t>
      </w:r>
    </w:p>
    <w:p w:rsidR="007D6707" w:rsidRPr="005D08F3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د- </w:t>
      </w:r>
      <w:proofErr w:type="gramStart"/>
      <w:r>
        <w:rPr>
          <w:rFonts w:hint="cs"/>
          <w:sz w:val="28"/>
          <w:szCs w:val="28"/>
          <w:rtl/>
        </w:rPr>
        <w:t>أن</w:t>
      </w:r>
      <w:proofErr w:type="gramEnd"/>
      <w:r>
        <w:rPr>
          <w:rFonts w:hint="cs"/>
          <w:sz w:val="28"/>
          <w:szCs w:val="28"/>
          <w:rtl/>
        </w:rPr>
        <w:t xml:space="preserve"> تقع بعد فعل من أفعال القلوب، نحو: علمت إن زيدا لقائمّ</w:t>
      </w:r>
    </w:p>
  </w:footnote>
  <w:footnote w:id="3">
    <w:p w:rsidR="007D6707" w:rsidRPr="001271B6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 w:rsidRPr="001271B6">
        <w:rPr>
          <w:rFonts w:hint="cs"/>
          <w:sz w:val="28"/>
          <w:szCs w:val="28"/>
          <w:rtl/>
        </w:rPr>
        <w:t xml:space="preserve">- </w:t>
      </w:r>
      <w:proofErr w:type="gramStart"/>
      <w:r w:rsidRPr="001271B6">
        <w:rPr>
          <w:rFonts w:hint="cs"/>
          <w:sz w:val="28"/>
          <w:szCs w:val="28"/>
          <w:rtl/>
        </w:rPr>
        <w:t>معنى</w:t>
      </w:r>
      <w:proofErr w:type="gramEnd"/>
      <w:r w:rsidRPr="001271B6">
        <w:rPr>
          <w:rFonts w:hint="cs"/>
          <w:sz w:val="28"/>
          <w:szCs w:val="28"/>
          <w:rtl/>
        </w:rPr>
        <w:t xml:space="preserve"> (أن</w:t>
      </w:r>
      <w:r>
        <w:rPr>
          <w:rFonts w:hint="cs"/>
          <w:sz w:val="28"/>
          <w:szCs w:val="28"/>
          <w:rtl/>
        </w:rPr>
        <w:t>) و(إن) للتوكيد، ومعنى (كأن) للتشبيه، ومعنى (لكن) للاستدراك، و(لعلّ) للترجي، و(ليت) للتمني، والفرق بين التمني والترجي، أن الترجي لا يكون إلا في الممكن، فلا تقل: لعلّ الشباب يعود يوما، أما التمني فيكون في الممكن وغير الممكن.</w:t>
      </w:r>
    </w:p>
  </w:footnote>
  <w:footnote w:id="4">
    <w:p w:rsidR="007D6707" w:rsidRPr="00E74BDC" w:rsidRDefault="007D6707" w:rsidP="007D6707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sz w:val="28"/>
          <w:szCs w:val="28"/>
          <w:rtl/>
        </w:rPr>
        <w:t>ما عدا (ليت)،إذ يجوز فيها الإعمال، فتقول: ليتما عليا حاضرٌ، وتقول إن شئت: ليت عليٌّ حاضرٌ.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4AF5"/>
    <w:multiLevelType w:val="hybridMultilevel"/>
    <w:tmpl w:val="9A74EB3E"/>
    <w:lvl w:ilvl="0" w:tplc="264A40C8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DAE1D19"/>
    <w:multiLevelType w:val="hybridMultilevel"/>
    <w:tmpl w:val="21C01608"/>
    <w:lvl w:ilvl="0" w:tplc="715C65B2">
      <w:start w:val="1"/>
      <w:numFmt w:val="decimal"/>
      <w:lvlText w:val="%1-"/>
      <w:lvlJc w:val="left"/>
      <w:pPr>
        <w:ind w:left="502" w:hanging="360"/>
      </w:pPr>
      <w:rPr>
        <w:rFonts w:ascii="Simplified Arabic" w:eastAsiaTheme="minorHAnsi" w:hAnsi="Simplified Arabic" w:cs="Simplified Arabic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2D83AF1"/>
    <w:multiLevelType w:val="hybridMultilevel"/>
    <w:tmpl w:val="6C0CA6E0"/>
    <w:lvl w:ilvl="0" w:tplc="2A9616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707"/>
    <w:rsid w:val="000A53BD"/>
    <w:rsid w:val="001A5F9D"/>
    <w:rsid w:val="00526B50"/>
    <w:rsid w:val="005B4F1F"/>
    <w:rsid w:val="007D6707"/>
    <w:rsid w:val="00DC6A45"/>
    <w:rsid w:val="00F7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70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67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67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D67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2021-05-22T21:00:00Z</dcterms:created>
  <dcterms:modified xsi:type="dcterms:W3CDTF">2021-05-22T21:10:00Z</dcterms:modified>
</cp:coreProperties>
</file>