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0B" w:rsidRPr="00A95C5A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المحاضرة</w:t>
      </w:r>
      <w:proofErr w:type="gramEnd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الخامسة</w:t>
      </w:r>
    </w:p>
    <w:p w:rsidR="007B520B" w:rsidRPr="00A95C5A" w:rsidRDefault="008E2970" w:rsidP="007B520B">
      <w:pPr>
        <w:bidi/>
        <w:spacing w:after="160" w:line="240" w:lineRule="auto"/>
        <w:ind w:left="360"/>
        <w:jc w:val="center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</w:rPr>
        <w:t xml:space="preserve">إلحاق </w:t>
      </w:r>
      <w:proofErr w:type="spellStart"/>
      <w:r w:rsidR="007B520B"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النواسخ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بالجملة الاسمية1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  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النواسخ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جمع ناسخ، والنسخ في اللغة هو الإزالة والتغيير، وسميت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بالنواسخ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أنها تزيل حكم المبتدأ  والخبر، وتغير إعرابهما ومعناهما، كما تحدث تغييرا في تسميتهما، وهي تدخل على الجملة الاسمية فتنسخ حكمها، وتنقسم بحسب الصيغة إلى أسماء وأفعال وحروف.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الأسماء: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وهي الأسماء المشتقة من هذه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النواسخ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مثل الكون- الظن، كائن (اسم فاعل من الفعل كان)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الأفعال: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هي كان وأخواتها وظن وأخواتها</w:t>
      </w:r>
    </w:p>
    <w:p w:rsidR="007B520B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الحروف: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هي إن وأخواتها</w:t>
      </w:r>
    </w:p>
    <w:p w:rsidR="007B520B" w:rsidRPr="00A95C5A" w:rsidRDefault="007B520B" w:rsidP="007B520B">
      <w:pPr>
        <w:bidi/>
        <w:spacing w:after="160" w:line="240" w:lineRule="auto"/>
        <w:ind w:left="36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أنواع </w:t>
      </w:r>
      <w:proofErr w:type="spellStart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النواسخ</w:t>
      </w:r>
      <w:proofErr w:type="spellEnd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من حيث العمل: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ما يرفع المبتدأ وينصب الخبر: وهو كان وأخواتها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ما ينصب المبتدأ ويرفع الخبر: وهو إن وأخواتها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وما ينصبهما معا: وهو ظن وأخواتها</w:t>
      </w:r>
    </w:p>
    <w:p w:rsidR="007B520B" w:rsidRDefault="007B520B" w:rsidP="007B520B">
      <w:pPr>
        <w:pStyle w:val="Paragraphedeliste"/>
        <w:numPr>
          <w:ilvl w:val="0"/>
          <w:numId w:val="2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كان وأخواتها</w:t>
      </w:r>
      <w:r>
        <w:rPr>
          <w:rStyle w:val="Appelnotedebasdep"/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footnoteReference w:id="2"/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هي أفعال ناسخة ناقصة، تدخل على الجملة الاسمية فتغير حكمها بحكم آخر، فترفع المبتدأ ويسمى اسمها، وتنصب الخبر ويسمى خبرها، وهي ثلاثة عشر لفظة: كان- ظل- بات- أصبح- أضحى- أمسى- صار- ليس- مازال- ماانفك- مافتئ- مابرح- مادام</w:t>
      </w:r>
    </w:p>
    <w:p w:rsidR="007B520B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وهي على ثلاثة أقسام: </w:t>
      </w:r>
    </w:p>
    <w:p w:rsidR="007B520B" w:rsidRDefault="007B520B" w:rsidP="007B520B">
      <w:pPr>
        <w:pStyle w:val="Paragraphedeliste"/>
        <w:numPr>
          <w:ilvl w:val="0"/>
          <w:numId w:val="3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قسم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يرفع المبتدأ وينصب الخبر بلا شروط: وهي كان- أصبح أضحى- ظل أمسى- بات- صار- ليس</w:t>
      </w:r>
    </w:p>
    <w:p w:rsidR="007B520B" w:rsidRDefault="007B520B" w:rsidP="007B520B">
      <w:pPr>
        <w:pStyle w:val="Paragraphedeliste"/>
        <w:numPr>
          <w:ilvl w:val="0"/>
          <w:numId w:val="3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قسم يرفع المبتدأ وينصب الخبر بشرط أن يتقدم عليه نفي أو شبهه وهي: زال- برح- فتئ- انفك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فالنفي نحو قوله تعالى: " ولا يزالون مختلفين"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وشبيهه هو النهي والدعاء،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فالأول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ج-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يعمل بشرط أن تتقدم عليه ما المصدرية الظرفية وهو دام: كقوله تعالى:  "وأوصاني بالصلاة والزكاة ما دمت حيا" أي مدة دوامي حيا، وسميت بما المصدرية لأنها تقدر بالظرف وهو "مدة".</w:t>
      </w:r>
    </w:p>
    <w:p w:rsidR="007B520B" w:rsidRPr="0004059D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أنواع كان وأخواتها من حيث التصرف: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كان وأخواتها ثلاثة أنواع من حيث التصرف: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لا يتصرف مطلقا فلا يأتي منه إلا الماضي،  وهما فعلان: دام وليس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يتصرف تصرفا ناقصا: أي لا يأتي منه غير الماضي والمضارع، وهو: مازال- ماانفك- مافتئ- مابرح.</w:t>
      </w:r>
    </w:p>
    <w:p w:rsidR="007B520B" w:rsidRDefault="007B520B" w:rsidP="007B520B">
      <w:pPr>
        <w:pStyle w:val="Paragraphedeliste"/>
        <w:numPr>
          <w:ilvl w:val="0"/>
          <w:numId w:val="4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نوع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يتصرف تصرفا تاما: أي يأتي منه الماضي والمضارع والأمر، وهو السبعة الباقية، وهي: كان- ظل- بات- أصبح- أمسى صار- أضحى، كما يأتي منه اسم الفاعل والمصدر.</w:t>
      </w:r>
    </w:p>
    <w:p w:rsidR="007B520B" w:rsidRPr="00A95C5A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الأمثلة</w:t>
      </w:r>
      <w:proofErr w:type="gramEnd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: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ويكون الرسول عليكم شهيدا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كونوا قوامين بالقسط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فتصبح الأرض مخضرة</w:t>
      </w:r>
    </w:p>
    <w:p w:rsidR="007B520B" w:rsidRPr="00C166E0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سرني صيرورة أخي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مهندسا</w:t>
      </w:r>
      <w:proofErr w:type="gramEnd"/>
    </w:p>
    <w:p w:rsidR="007B520B" w:rsidRPr="0004059D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مجيء هذه الأفعال </w:t>
      </w:r>
      <w:proofErr w:type="gramStart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تامة</w:t>
      </w:r>
      <w:proofErr w:type="gramEnd"/>
      <w:r w:rsidRPr="0004059D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:</w:t>
      </w:r>
    </w:p>
    <w:p w:rsidR="007B520B" w:rsidRDefault="007B520B" w:rsidP="007B520B">
      <w:p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 xml:space="preserve"> هناك حالات تكون فيها هذه الأفعال تامة، ما عدا فتئ وزال وليس، ومعنى كونها تامة أنها لا تنصب الخبر، بل تكتفي برفع الفاعل، وإليك الأحكام: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جاءت (كان) بمعنى حدث أو حصل أو وقع أعربت تامة أي ما بعدها فاعل مرفوع، نحو: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تهاون الشعب في واجباته فكانت الكارثة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أي حدثت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حاربنا الاستعمار فكان الاستقلال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أي حصل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ونحو قوله تعالى: " وقاتلوهم حتى لا تكون فتنة</w:t>
      </w:r>
      <w:r w:rsidR="008E297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ٌ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"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كانت "أصبح"، بمعنى الدخول في الصباح، و"أمسى" بمعنى الدخول في المساء أعربتا إعراب الأفعال التامة، نحو: أحييك حين تصبح وحين تمسي، أي في الوقت الذي تصبح فيه، وفي الوقت الذي تمسي فيه.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كانت "ظل" بمعنى استمر، و"بات" بمعنى نزل ليلا، و"أضحى بمعنى دخل في الضحى، و "صار" بمعنى انتقل، و"انفك" بمعنى انفصل، و"برح" بمعنى ذهب، أعرب الفعل تاما أي لا ينصب ال</w:t>
      </w:r>
      <w:r w:rsidRPr="00421B2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خبر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ظلّ المطر ينزل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بت راكعا لله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تفز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بالجنة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ألا إلى الله تصير الأمور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انفك الأسير من أسره</w:t>
      </w: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برح السرّ</w:t>
      </w:r>
    </w:p>
    <w:p w:rsidR="007B520B" w:rsidRPr="00A95C5A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proofErr w:type="gramStart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>أحكام</w:t>
      </w:r>
      <w:proofErr w:type="gramEnd"/>
      <w:r w:rsidRPr="00A95C5A">
        <w:rPr>
          <w:rFonts w:ascii="Simplified Arabic" w:hAnsi="Simplified Arabic" w:cs="Simplified Arabic" w:hint="cs"/>
          <w:b/>
          <w:bCs/>
          <w:color w:val="000000" w:themeColor="text1" w:themeShade="80"/>
          <w:sz w:val="32"/>
          <w:szCs w:val="32"/>
          <w:rtl/>
          <w:lang w:bidi="ar-DZ"/>
        </w:rPr>
        <w:t xml:space="preserve"> كان: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قد تأتي زائدة أي لا عمل لها، ولا تحتاج إلى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معموليها</w:t>
      </w:r>
      <w:proofErr w:type="spell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(الاسم والخبر)، وذلك بشرطين: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تكون بلفظ الماضي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أن تكون بين شيئين متلازمين، كالمبتدأ والخبر، الفعل </w:t>
      </w:r>
      <w:proofErr w:type="spell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</w:t>
      </w:r>
      <w:r w:rsidRPr="00C166E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مرفوعه</w:t>
      </w:r>
      <w:proofErr w:type="spellEnd"/>
      <w:r w:rsidRPr="00C166E0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، الصلة والموصول، الصفة والموصوف...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نحو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: زيد كان قائم، كان هنا زائدة.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lastRenderedPageBreak/>
        <w:t>يجوز أن تزاد الباء في خبرها للتوكيد إذا سبقت بنفي أو نهي، ويكون الخبر مجرورا لفظا منصوبا محلا.</w:t>
      </w:r>
    </w:p>
    <w:p w:rsidR="007B520B" w:rsidRDefault="007B520B" w:rsidP="007B520B">
      <w:pPr>
        <w:pStyle w:val="Paragraphedeliste"/>
        <w:bidi/>
        <w:spacing w:after="160" w:line="240" w:lineRule="auto"/>
        <w:ind w:left="144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مثال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النهي:</w:t>
      </w:r>
      <w:r w:rsidRPr="005E4CA8"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لا تكن بغافل عن ذكر الله، غافل خبر مجرور لفظا منصوب محلا</w:t>
      </w: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.</w:t>
      </w:r>
    </w:p>
    <w:p w:rsidR="007B520B" w:rsidRDefault="007B520B" w:rsidP="007B520B">
      <w:pPr>
        <w:pStyle w:val="Paragraphedeliste"/>
        <w:bidi/>
        <w:spacing w:after="160" w:line="240" w:lineRule="auto"/>
        <w:ind w:left="144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ومثال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النفي: لم يكن زيد بظالم، ظالم خبر مجرور لفظا منصوب محلا.</w:t>
      </w:r>
    </w:p>
    <w:p w:rsidR="007B520B" w:rsidRDefault="007B520B" w:rsidP="007B520B">
      <w:pPr>
        <w:pStyle w:val="Paragraphedeliste"/>
        <w:numPr>
          <w:ilvl w:val="0"/>
          <w:numId w:val="5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جواز حذف نون المضارع من كان للتخفيف لكثرة الاستعمال، إذا توفرت الشروط الآتية: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أن </w:t>
      </w:r>
      <w:proofErr w:type="gramStart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تكون</w:t>
      </w:r>
      <w:proofErr w:type="gramEnd"/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 xml:space="preserve"> في فعل مضارع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يكون المضارع مجزوما بالسكون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أن يقع بعد حرف متحرك</w:t>
      </w:r>
    </w:p>
    <w:p w:rsidR="007B520B" w:rsidRDefault="007B520B" w:rsidP="007B520B">
      <w:pPr>
        <w:pStyle w:val="Paragraphedeliste"/>
        <w:numPr>
          <w:ilvl w:val="0"/>
          <w:numId w:val="1"/>
        </w:numPr>
        <w:bidi/>
        <w:spacing w:after="160" w:line="240" w:lineRule="auto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ألا يتصل بها ضمير نصب متصل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 w:themeShade="80"/>
          <w:sz w:val="32"/>
          <w:szCs w:val="32"/>
          <w:rtl/>
          <w:lang w:bidi="ar-DZ"/>
        </w:rPr>
        <w:t>ومثال ذلك: لا تكُ ظالما، لم أكُ مقصرا، " فلا تكُ في مرية منه إنه الحق"</w:t>
      </w: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Pr="00C42E8F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Pr="00421B20" w:rsidRDefault="007B520B" w:rsidP="007B520B">
      <w:pPr>
        <w:pStyle w:val="Paragraphedeliste"/>
        <w:bidi/>
        <w:spacing w:after="160" w:line="240" w:lineRule="auto"/>
        <w:ind w:left="108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7B520B" w:rsidRDefault="007B520B" w:rsidP="007B520B">
      <w:pPr>
        <w:bidi/>
        <w:spacing w:after="160" w:line="240" w:lineRule="auto"/>
        <w:ind w:left="720"/>
        <w:jc w:val="both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</w:p>
    <w:p w:rsidR="005B4F1F" w:rsidRPr="007B520B" w:rsidRDefault="005B4F1F" w:rsidP="007B520B">
      <w:pPr>
        <w:bidi/>
        <w:rPr>
          <w:sz w:val="32"/>
          <w:szCs w:val="32"/>
          <w:lang w:bidi="ar-DZ"/>
        </w:rPr>
      </w:pPr>
    </w:p>
    <w:sectPr w:rsidR="005B4F1F" w:rsidRPr="007B520B" w:rsidSect="005B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73" w:rsidRDefault="001F6873" w:rsidP="007B520B">
      <w:pPr>
        <w:spacing w:after="0" w:line="240" w:lineRule="auto"/>
      </w:pPr>
      <w:r>
        <w:separator/>
      </w:r>
    </w:p>
  </w:endnote>
  <w:endnote w:type="continuationSeparator" w:id="1">
    <w:p w:rsidR="001F6873" w:rsidRDefault="001F6873" w:rsidP="007B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73" w:rsidRDefault="001F6873" w:rsidP="007B520B">
      <w:pPr>
        <w:spacing w:after="0" w:line="240" w:lineRule="auto"/>
      </w:pPr>
      <w:r>
        <w:separator/>
      </w:r>
    </w:p>
  </w:footnote>
  <w:footnote w:type="continuationSeparator" w:id="1">
    <w:p w:rsidR="001F6873" w:rsidRDefault="001F6873" w:rsidP="007B520B">
      <w:pPr>
        <w:spacing w:after="0" w:line="240" w:lineRule="auto"/>
      </w:pPr>
      <w:r>
        <w:continuationSeparator/>
      </w:r>
    </w:p>
  </w:footnote>
  <w:footnote w:id="2">
    <w:p w:rsidR="007B520B" w:rsidRPr="00AA1C20" w:rsidRDefault="007B520B" w:rsidP="007B520B">
      <w:pPr>
        <w:pStyle w:val="Notedebasdepage"/>
        <w:bidi/>
        <w:rPr>
          <w:sz w:val="28"/>
          <w:szCs w:val="28"/>
          <w:rtl/>
        </w:rPr>
      </w:pPr>
      <w:r>
        <w:rPr>
          <w:rStyle w:val="Appelnotedebasdep"/>
        </w:rPr>
        <w:footnoteRef/>
      </w:r>
      <w:r>
        <w:t xml:space="preserve"> </w:t>
      </w:r>
      <w:r w:rsidRPr="00AA1C20">
        <w:rPr>
          <w:rFonts w:hint="cs"/>
          <w:sz w:val="28"/>
          <w:szCs w:val="28"/>
          <w:rtl/>
        </w:rPr>
        <w:t xml:space="preserve">- يطلق علماء النحو مصطلح </w:t>
      </w:r>
      <w:r>
        <w:rPr>
          <w:rFonts w:hint="cs"/>
          <w:sz w:val="28"/>
          <w:szCs w:val="28"/>
          <w:rtl/>
        </w:rPr>
        <w:t>"</w:t>
      </w:r>
      <w:r w:rsidRPr="00AA1C20">
        <w:rPr>
          <w:rFonts w:hint="cs"/>
          <w:sz w:val="28"/>
          <w:szCs w:val="28"/>
          <w:rtl/>
        </w:rPr>
        <w:t>الأخوات</w:t>
      </w:r>
      <w:r>
        <w:rPr>
          <w:rFonts w:hint="cs"/>
          <w:sz w:val="28"/>
          <w:szCs w:val="28"/>
          <w:rtl/>
        </w:rPr>
        <w:t>"</w:t>
      </w:r>
      <w:r w:rsidRPr="00AA1C2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أي أخوات العامل </w:t>
      </w:r>
      <w:r w:rsidRPr="00AA1C20">
        <w:rPr>
          <w:rFonts w:hint="cs"/>
          <w:sz w:val="28"/>
          <w:szCs w:val="28"/>
          <w:rtl/>
        </w:rPr>
        <w:t xml:space="preserve">على </w:t>
      </w:r>
      <w:r>
        <w:rPr>
          <w:rFonts w:hint="cs"/>
          <w:sz w:val="28"/>
          <w:szCs w:val="28"/>
          <w:rtl/>
        </w:rPr>
        <w:t>العوامل التي تعمل عمله لاجتماعهما في العمل، أي كان ونظائرها في العمل الإعرابي.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4E6"/>
    <w:multiLevelType w:val="hybridMultilevel"/>
    <w:tmpl w:val="07DA752C"/>
    <w:lvl w:ilvl="0" w:tplc="140A1E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D924E3"/>
    <w:multiLevelType w:val="hybridMultilevel"/>
    <w:tmpl w:val="42D42A82"/>
    <w:lvl w:ilvl="0" w:tplc="A42A5FA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E80E5C"/>
    <w:multiLevelType w:val="hybridMultilevel"/>
    <w:tmpl w:val="10362414"/>
    <w:lvl w:ilvl="0" w:tplc="041AD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3AF1"/>
    <w:multiLevelType w:val="hybridMultilevel"/>
    <w:tmpl w:val="6C0CA6E0"/>
    <w:lvl w:ilvl="0" w:tplc="2A9616D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443438"/>
    <w:multiLevelType w:val="hybridMultilevel"/>
    <w:tmpl w:val="F3443FBE"/>
    <w:lvl w:ilvl="0" w:tplc="C4B6F8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0B"/>
    <w:rsid w:val="000A53BD"/>
    <w:rsid w:val="001F6873"/>
    <w:rsid w:val="005B4F1F"/>
    <w:rsid w:val="006E2DD4"/>
    <w:rsid w:val="007B520B"/>
    <w:rsid w:val="008E2970"/>
    <w:rsid w:val="00F7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20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520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52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52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2021-05-22T20:59:00Z</dcterms:created>
  <dcterms:modified xsi:type="dcterms:W3CDTF">2021-05-22T21:05:00Z</dcterms:modified>
</cp:coreProperties>
</file>