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EE" w:rsidRPr="004645D4" w:rsidRDefault="00F51FEE" w:rsidP="004645D4">
      <w:pPr>
        <w:bidi/>
        <w:spacing w:line="360" w:lineRule="auto"/>
        <w:ind w:right="284"/>
        <w:jc w:val="center"/>
        <w:rPr>
          <w:rFonts w:ascii="Simplified Arabic" w:eastAsia="Times New Roman" w:hAnsi="Simplified Arabic" w:cs="Simplified Arabic"/>
          <w:b/>
          <w:bCs/>
          <w:sz w:val="32"/>
          <w:szCs w:val="32"/>
          <w:rtl/>
        </w:rPr>
      </w:pPr>
      <w:bookmarkStart w:id="0" w:name="_GoBack"/>
      <w:proofErr w:type="gramStart"/>
      <w:r w:rsidRPr="004645D4">
        <w:rPr>
          <w:rFonts w:ascii="Simplified Arabic" w:eastAsia="Times New Roman" w:hAnsi="Simplified Arabic" w:cs="Simplified Arabic"/>
          <w:b/>
          <w:bCs/>
          <w:sz w:val="32"/>
          <w:szCs w:val="32"/>
          <w:rtl/>
        </w:rPr>
        <w:t>محاضرة</w:t>
      </w:r>
      <w:proofErr w:type="gramEnd"/>
      <w:r w:rsidRPr="004645D4">
        <w:rPr>
          <w:rFonts w:ascii="Simplified Arabic" w:eastAsia="Times New Roman" w:hAnsi="Simplified Arabic" w:cs="Simplified Arabic"/>
          <w:b/>
          <w:bCs/>
          <w:sz w:val="32"/>
          <w:szCs w:val="32"/>
          <w:rtl/>
        </w:rPr>
        <w:t xml:space="preserve"> </w:t>
      </w:r>
      <w:r w:rsidRPr="004645D4">
        <w:rPr>
          <w:rFonts w:ascii="Simplified Arabic" w:eastAsia="Times New Roman" w:hAnsi="Simplified Arabic" w:cs="Simplified Arabic" w:hint="cs"/>
          <w:b/>
          <w:bCs/>
          <w:sz w:val="32"/>
          <w:szCs w:val="32"/>
          <w:rtl/>
        </w:rPr>
        <w:t>السابعة:</w:t>
      </w:r>
    </w:p>
    <w:p w:rsidR="00F51FEE" w:rsidRPr="004645D4" w:rsidRDefault="00F51FEE" w:rsidP="004645D4">
      <w:pPr>
        <w:bidi/>
        <w:spacing w:line="360" w:lineRule="auto"/>
        <w:ind w:right="284"/>
        <w:jc w:val="center"/>
        <w:rPr>
          <w:rFonts w:ascii="Simplified Arabic" w:eastAsia="Times New Roman" w:hAnsi="Simplified Arabic" w:cs="Simplified Arabic"/>
          <w:b/>
          <w:bCs/>
          <w:sz w:val="32"/>
          <w:szCs w:val="32"/>
          <w:rtl/>
        </w:rPr>
      </w:pPr>
      <w:r w:rsidRPr="004645D4">
        <w:rPr>
          <w:rFonts w:ascii="Simplified Arabic" w:eastAsia="Times New Roman" w:hAnsi="Simplified Arabic" w:cs="Simplified Arabic"/>
          <w:b/>
          <w:bCs/>
          <w:sz w:val="32"/>
          <w:szCs w:val="32"/>
          <w:rtl/>
        </w:rPr>
        <w:t xml:space="preserve">النقد وقضية الإعجاز (نماذج نصية من المشرق والأندلس </w:t>
      </w:r>
      <w:proofErr w:type="gramStart"/>
      <w:r w:rsidRPr="004645D4">
        <w:rPr>
          <w:rFonts w:ascii="Simplified Arabic" w:eastAsia="Times New Roman" w:hAnsi="Simplified Arabic" w:cs="Simplified Arabic"/>
          <w:b/>
          <w:bCs/>
          <w:sz w:val="32"/>
          <w:szCs w:val="32"/>
          <w:rtl/>
        </w:rPr>
        <w:t>والمغرب</w:t>
      </w:r>
      <w:proofErr w:type="gramEnd"/>
      <w:r w:rsidRPr="004645D4">
        <w:rPr>
          <w:rFonts w:ascii="Simplified Arabic" w:eastAsia="Times New Roman" w:hAnsi="Simplified Arabic" w:cs="Simplified Arabic"/>
          <w:b/>
          <w:bCs/>
          <w:sz w:val="32"/>
          <w:szCs w:val="32"/>
          <w:rtl/>
        </w:rPr>
        <w:t>)</w:t>
      </w:r>
    </w:p>
    <w:p w:rsidR="00F51FEE" w:rsidRPr="004645D4" w:rsidRDefault="00F51FEE" w:rsidP="004645D4">
      <w:pPr>
        <w:bidi/>
        <w:spacing w:line="360" w:lineRule="auto"/>
        <w:ind w:right="284"/>
        <w:jc w:val="both"/>
        <w:rPr>
          <w:rFonts w:ascii="Simplified Arabic" w:eastAsia="Times New Roman" w:hAnsi="Simplified Arabic" w:cs="Simplified Arabic"/>
          <w:sz w:val="32"/>
          <w:szCs w:val="32"/>
          <w:shd w:val="clear" w:color="auto" w:fill="FFFFFF"/>
        </w:rPr>
      </w:pPr>
      <w:r w:rsidRPr="004645D4">
        <w:rPr>
          <w:rFonts w:ascii="Simplified Arabic" w:eastAsia="Times New Roman" w:hAnsi="Simplified Arabic" w:cs="Simplified Arabic"/>
          <w:sz w:val="32"/>
          <w:szCs w:val="32"/>
        </w:rPr>
        <w:br/>
      </w:r>
      <w:r w:rsidRPr="004645D4">
        <w:rPr>
          <w:rFonts w:ascii="Simplified Arabic" w:eastAsia="Times New Roman" w:hAnsi="Simplified Arabic" w:cs="Simplified Arabic"/>
          <w:sz w:val="32"/>
          <w:szCs w:val="32"/>
          <w:shd w:val="clear" w:color="auto" w:fill="FFFFFF"/>
          <w:rtl/>
        </w:rPr>
        <w:t>لقي القرآن الكريم، منذ نزوله، اهتماما بالغا</w:t>
      </w:r>
      <w:r w:rsidRPr="004645D4">
        <w:rPr>
          <w:rFonts w:ascii="Simplified Arabic" w:eastAsia="Times New Roman" w:hAnsi="Simplified Arabic" w:cs="Simplified Arabic"/>
          <w:sz w:val="32"/>
          <w:szCs w:val="32"/>
          <w:shd w:val="clear" w:color="auto" w:fill="FFFFFF"/>
          <w:rtl/>
          <w:lang w:bidi="ar-DZ"/>
        </w:rPr>
        <w:t xml:space="preserve"> </w:t>
      </w:r>
      <w:r w:rsidRPr="004645D4">
        <w:rPr>
          <w:rFonts w:ascii="Simplified Arabic" w:eastAsia="Times New Roman" w:hAnsi="Simplified Arabic" w:cs="Simplified Arabic"/>
          <w:sz w:val="32"/>
          <w:szCs w:val="32"/>
          <w:shd w:val="clear" w:color="auto" w:fill="FFFFFF"/>
          <w:rtl/>
        </w:rPr>
        <w:t>تعبّر عنه كثرة الدراسات التي دارت حوله وتعددها، فإضافة إلى التفاسير والشروحات، تناول العلماء والمختصون فيه وجوه بيانه وأسرار تراكيبه وألفاظه وأفكاره ومعانيه وغيرها مما يعد من صميم الإعجاز القرآني، ومما كان له أثره الواضح على البلاغة والنقد العربيين.</w:t>
      </w:r>
    </w:p>
    <w:p w:rsidR="00F51FEE" w:rsidRPr="004645D4" w:rsidRDefault="00F51FEE" w:rsidP="004645D4">
      <w:pPr>
        <w:bidi/>
        <w:spacing w:line="360" w:lineRule="auto"/>
        <w:ind w:right="284"/>
        <w:jc w:val="both"/>
        <w:rPr>
          <w:rFonts w:ascii="Simplified Arabic" w:hAnsi="Simplified Arabic" w:cs="Simplified Arabic"/>
          <w:sz w:val="32"/>
          <w:szCs w:val="32"/>
          <w:rtl/>
          <w:lang w:bidi="ar-DZ"/>
        </w:rPr>
      </w:pPr>
      <w:r w:rsidRPr="004645D4">
        <w:rPr>
          <w:rFonts w:ascii="Simplified Arabic" w:eastAsia="Times New Roman" w:hAnsi="Simplified Arabic" w:cs="Simplified Arabic"/>
          <w:sz w:val="32"/>
          <w:szCs w:val="32"/>
          <w:shd w:val="clear" w:color="auto" w:fill="FFFFFF"/>
          <w:rtl/>
        </w:rPr>
        <w:t xml:space="preserve">وقد كان للنحويين واللغويين نصيب كبير من تلك الدراسات، فأبرز الآراء ظهرت في ثنايا كتبهم من مثل كتاب (معاني القرآن) للفراء، وغيره ممن طبعت كتبهم بالعنوان ذاته أمثال الكسائي والأخفش والزجاج وأبو علي الفارسي وأبو جعفر النحاس. </w:t>
      </w:r>
    </w:p>
    <w:p w:rsidR="00F51FEE" w:rsidRPr="004645D4" w:rsidRDefault="00F51FEE" w:rsidP="004645D4">
      <w:pPr>
        <w:shd w:val="clear" w:color="auto" w:fill="FFFFFF"/>
        <w:tabs>
          <w:tab w:val="right" w:pos="8786"/>
        </w:tabs>
        <w:bidi/>
        <w:spacing w:after="0" w:line="360" w:lineRule="auto"/>
        <w:ind w:left="-3" w:right="284"/>
        <w:jc w:val="both"/>
        <w:rPr>
          <w:rFonts w:ascii="Simplified Arabic" w:eastAsia="Times New Roman" w:hAnsi="Simplified Arabic" w:cs="Simplified Arabic"/>
          <w:sz w:val="32"/>
          <w:szCs w:val="32"/>
          <w:shd w:val="clear" w:color="auto" w:fill="FFFFFF"/>
          <w:rtl/>
        </w:rPr>
      </w:pPr>
      <w:r w:rsidRPr="004645D4">
        <w:rPr>
          <w:rFonts w:ascii="Simplified Arabic" w:eastAsia="Times New Roman" w:hAnsi="Simplified Arabic" w:cs="Simplified Arabic"/>
          <w:sz w:val="32"/>
          <w:szCs w:val="32"/>
          <w:shd w:val="clear" w:color="auto" w:fill="FFFFFF"/>
          <w:rtl/>
        </w:rPr>
        <w:t xml:space="preserve">وبعدهم توسعت دائرة الاهتمام بالكتاب المكرم فظهرت كتب قيمة </w:t>
      </w:r>
      <w:proofErr w:type="spellStart"/>
      <w:r w:rsidRPr="004645D4">
        <w:rPr>
          <w:rFonts w:ascii="Simplified Arabic" w:eastAsia="Times New Roman" w:hAnsi="Simplified Arabic" w:cs="Simplified Arabic"/>
          <w:sz w:val="32"/>
          <w:szCs w:val="32"/>
          <w:shd w:val="clear" w:color="auto" w:fill="FFFFFF"/>
          <w:rtl/>
        </w:rPr>
        <w:t>وتآليف</w:t>
      </w:r>
      <w:proofErr w:type="spellEnd"/>
      <w:r w:rsidRPr="004645D4">
        <w:rPr>
          <w:rFonts w:ascii="Simplified Arabic" w:eastAsia="Times New Roman" w:hAnsi="Simplified Arabic" w:cs="Simplified Arabic"/>
          <w:sz w:val="32"/>
          <w:szCs w:val="32"/>
          <w:shd w:val="clear" w:color="auto" w:fill="FFFFFF"/>
          <w:rtl/>
        </w:rPr>
        <w:t xml:space="preserve"> مميزة فيه ككتاب (مجاز القرآن) لأبي عبيدة معمر بن المثنى، وكتاب الجاحظ (نظم القرآن)، وكتابي (غريب القرآن) و(تأويل مشكل القرآن) لابن قتيبة، و(كتابي دلائل الإعجاز) و(أسرار البلاغة) لعبد القاهر الجرجاني، توجهها الرغبة في الوقوف على فنون التعبير القرآني وأسلوبه المعجز ومعانيه الفريدة وعلى خصائص النظم فيه. </w:t>
      </w:r>
    </w:p>
    <w:p w:rsidR="00F51FEE" w:rsidRPr="004645D4" w:rsidRDefault="00F51FEE" w:rsidP="004645D4">
      <w:pPr>
        <w:shd w:val="clear" w:color="auto" w:fill="FFFFFF"/>
        <w:tabs>
          <w:tab w:val="right" w:pos="8786"/>
        </w:tabs>
        <w:bidi/>
        <w:spacing w:after="0" w:line="360" w:lineRule="auto"/>
        <w:ind w:left="-3" w:right="284"/>
        <w:jc w:val="both"/>
        <w:rPr>
          <w:rFonts w:ascii="Simplified Arabic" w:eastAsia="Times New Roman" w:hAnsi="Simplified Arabic" w:cs="Simplified Arabic"/>
          <w:sz w:val="32"/>
          <w:szCs w:val="32"/>
          <w:shd w:val="clear" w:color="auto" w:fill="FFFFFF"/>
          <w:rtl/>
        </w:rPr>
      </w:pPr>
      <w:r w:rsidRPr="004645D4">
        <w:rPr>
          <w:rFonts w:ascii="Simplified Arabic" w:eastAsia="Times New Roman" w:hAnsi="Simplified Arabic" w:cs="Simplified Arabic"/>
          <w:sz w:val="32"/>
          <w:szCs w:val="32"/>
          <w:shd w:val="clear" w:color="auto" w:fill="FFFFFF"/>
          <w:rtl/>
        </w:rPr>
        <w:lastRenderedPageBreak/>
        <w:t xml:space="preserve">وقد تزامنت بداية الدراسات القرآنية، مع أواخر القرن الثاني وخلال القرن الثالث، مع حركة التأليف النقدية التي نشطت نشاطا لافتا للنظر بظهور أدباء ونقاد ومفكرين على درجة من الوعي والتحمس للثقافة العربية أمثال: أبو عثمان الجاحظ صاحب (البيان والتبيين)، وابن سلام الجمحي (طبقات فحول الشعراء)، وابن قتيبة واضع (الشعر والشعراء)، </w:t>
      </w:r>
      <w:proofErr w:type="spellStart"/>
      <w:r w:rsidRPr="004645D4">
        <w:rPr>
          <w:rFonts w:ascii="Simplified Arabic" w:eastAsia="Times New Roman" w:hAnsi="Simplified Arabic" w:cs="Simplified Arabic"/>
          <w:sz w:val="32"/>
          <w:szCs w:val="32"/>
          <w:shd w:val="clear" w:color="auto" w:fill="FFFFFF"/>
          <w:rtl/>
        </w:rPr>
        <w:t>والآمدي</w:t>
      </w:r>
      <w:proofErr w:type="spellEnd"/>
      <w:r w:rsidRPr="004645D4">
        <w:rPr>
          <w:rFonts w:ascii="Simplified Arabic" w:eastAsia="Times New Roman" w:hAnsi="Simplified Arabic" w:cs="Simplified Arabic"/>
          <w:sz w:val="32"/>
          <w:szCs w:val="32"/>
          <w:shd w:val="clear" w:color="auto" w:fill="FFFFFF"/>
          <w:rtl/>
        </w:rPr>
        <w:t xml:space="preserve"> (</w:t>
      </w:r>
      <w:proofErr w:type="spellStart"/>
      <w:r w:rsidRPr="004645D4">
        <w:rPr>
          <w:rFonts w:ascii="Simplified Arabic" w:eastAsia="Times New Roman" w:hAnsi="Simplified Arabic" w:cs="Simplified Arabic"/>
          <w:sz w:val="32"/>
          <w:szCs w:val="32"/>
          <w:shd w:val="clear" w:color="auto" w:fill="FFFFFF"/>
          <w:rtl/>
        </w:rPr>
        <w:t>ت271ه</w:t>
      </w:r>
      <w:proofErr w:type="spellEnd"/>
      <w:r w:rsidRPr="004645D4">
        <w:rPr>
          <w:rFonts w:ascii="Simplified Arabic" w:eastAsia="Times New Roman" w:hAnsi="Simplified Arabic" w:cs="Simplified Arabic"/>
          <w:sz w:val="32"/>
          <w:szCs w:val="32"/>
          <w:shd w:val="clear" w:color="auto" w:fill="FFFFFF"/>
          <w:rtl/>
        </w:rPr>
        <w:t>) صاحب (الموازنة بين الطائيين أبي تمام والبحتري)، والقاضي الجرجاني (</w:t>
      </w:r>
      <w:proofErr w:type="spellStart"/>
      <w:r w:rsidRPr="004645D4">
        <w:rPr>
          <w:rFonts w:ascii="Simplified Arabic" w:eastAsia="Times New Roman" w:hAnsi="Simplified Arabic" w:cs="Simplified Arabic"/>
          <w:sz w:val="32"/>
          <w:szCs w:val="32"/>
          <w:shd w:val="clear" w:color="auto" w:fill="FFFFFF"/>
          <w:rtl/>
        </w:rPr>
        <w:t>ت292ه</w:t>
      </w:r>
      <w:proofErr w:type="spellEnd"/>
      <w:r w:rsidRPr="004645D4">
        <w:rPr>
          <w:rFonts w:ascii="Simplified Arabic" w:eastAsia="Times New Roman" w:hAnsi="Simplified Arabic" w:cs="Simplified Arabic"/>
          <w:sz w:val="32"/>
          <w:szCs w:val="32"/>
          <w:shd w:val="clear" w:color="auto" w:fill="FFFFFF"/>
          <w:rtl/>
        </w:rPr>
        <w:t>) صاحب (الوساطة بين المتنبي وخصومه)، وغيرهم</w:t>
      </w:r>
      <w:r w:rsidRPr="004645D4">
        <w:rPr>
          <w:rFonts w:ascii="Simplified Arabic" w:eastAsia="Times New Roman" w:hAnsi="Simplified Arabic" w:cs="Simplified Arabic"/>
          <w:sz w:val="32"/>
          <w:szCs w:val="32"/>
          <w:shd w:val="clear" w:color="auto" w:fill="FFFFFF"/>
        </w:rPr>
        <w:t>.</w:t>
      </w:r>
    </w:p>
    <w:p w:rsidR="00F51FEE" w:rsidRPr="004645D4" w:rsidRDefault="00F51FEE" w:rsidP="004645D4">
      <w:pPr>
        <w:shd w:val="clear" w:color="auto" w:fill="FFFFFF"/>
        <w:tabs>
          <w:tab w:val="right" w:pos="8786"/>
        </w:tabs>
        <w:bidi/>
        <w:spacing w:after="0" w:line="360" w:lineRule="auto"/>
        <w:ind w:left="-3" w:right="284"/>
        <w:jc w:val="both"/>
        <w:rPr>
          <w:rFonts w:ascii="Simplified Arabic" w:eastAsia="Times New Roman" w:hAnsi="Simplified Arabic" w:cs="Simplified Arabic"/>
          <w:sz w:val="32"/>
          <w:szCs w:val="32"/>
          <w:shd w:val="clear" w:color="auto" w:fill="FFFFFF"/>
          <w:rtl/>
        </w:rPr>
      </w:pPr>
      <w:proofErr w:type="gramStart"/>
      <w:r w:rsidRPr="004645D4">
        <w:rPr>
          <w:rFonts w:ascii="Simplified Arabic" w:eastAsia="Times New Roman" w:hAnsi="Simplified Arabic" w:cs="Simplified Arabic"/>
          <w:sz w:val="32"/>
          <w:szCs w:val="32"/>
          <w:shd w:val="clear" w:color="auto" w:fill="FFFFFF"/>
          <w:rtl/>
        </w:rPr>
        <w:t>ولم</w:t>
      </w:r>
      <w:proofErr w:type="gramEnd"/>
      <w:r w:rsidRPr="004645D4">
        <w:rPr>
          <w:rFonts w:ascii="Simplified Arabic" w:eastAsia="Times New Roman" w:hAnsi="Simplified Arabic" w:cs="Simplified Arabic"/>
          <w:sz w:val="32"/>
          <w:szCs w:val="32"/>
          <w:shd w:val="clear" w:color="auto" w:fill="FFFFFF"/>
          <w:rtl/>
        </w:rPr>
        <w:t xml:space="preserve"> تخل كتب أغلب هؤلاء من الإشارة إلى تفرد القرآن الكريم والموازنة بينه وبين ما جاء به الشعراء والأدباء العرب، تنبيها على عظيم تفرده بلاغة وبيانا وفصاحة.</w:t>
      </w:r>
    </w:p>
    <w:p w:rsidR="004645D4" w:rsidRPr="004645D4" w:rsidRDefault="00F51FEE" w:rsidP="004645D4">
      <w:pPr>
        <w:shd w:val="clear" w:color="auto" w:fill="FFFFFF"/>
        <w:tabs>
          <w:tab w:val="right" w:pos="8786"/>
        </w:tabs>
        <w:bidi/>
        <w:spacing w:after="0" w:line="360" w:lineRule="auto"/>
        <w:ind w:left="-3" w:right="284"/>
        <w:jc w:val="both"/>
        <w:rPr>
          <w:rFonts w:ascii="Simplified Arabic" w:eastAsia="Times New Roman" w:hAnsi="Simplified Arabic" w:cs="Simplified Arabic" w:hint="cs"/>
          <w:sz w:val="32"/>
          <w:szCs w:val="32"/>
          <w:shd w:val="clear" w:color="auto" w:fill="FFFFFF"/>
          <w:rtl/>
        </w:rPr>
      </w:pPr>
      <w:r w:rsidRPr="004645D4">
        <w:rPr>
          <w:rFonts w:ascii="Simplified Arabic" w:eastAsia="Times New Roman" w:hAnsi="Simplified Arabic" w:cs="Simplified Arabic"/>
          <w:sz w:val="32"/>
          <w:szCs w:val="32"/>
          <w:shd w:val="clear" w:color="auto" w:fill="FFFFFF"/>
          <w:rtl/>
        </w:rPr>
        <w:t xml:space="preserve"> ثم سرعان ما انفصلت الدراسات القرآنية عن النحوية، وعكف علماء الإعجاز يشرحون وجوه الإعجاز البلاغي، فكتب الرماني (ت </w:t>
      </w:r>
      <w:proofErr w:type="spellStart"/>
      <w:r w:rsidRPr="004645D4">
        <w:rPr>
          <w:rFonts w:ascii="Simplified Arabic" w:eastAsia="Times New Roman" w:hAnsi="Simplified Arabic" w:cs="Simplified Arabic"/>
          <w:sz w:val="32"/>
          <w:szCs w:val="32"/>
          <w:shd w:val="clear" w:color="auto" w:fill="FFFFFF"/>
          <w:rtl/>
        </w:rPr>
        <w:t>386ه</w:t>
      </w:r>
      <w:proofErr w:type="spellEnd"/>
      <w:r w:rsidRPr="004645D4">
        <w:rPr>
          <w:rFonts w:ascii="Simplified Arabic" w:eastAsia="Times New Roman" w:hAnsi="Simplified Arabic" w:cs="Simplified Arabic"/>
          <w:sz w:val="32"/>
          <w:szCs w:val="32"/>
          <w:shd w:val="clear" w:color="auto" w:fill="FFFFFF"/>
          <w:rtl/>
        </w:rPr>
        <w:t xml:space="preserve">) (النكت في إعجاز القرآن)، والخطابي (ت </w:t>
      </w:r>
      <w:proofErr w:type="spellStart"/>
      <w:r w:rsidRPr="004645D4">
        <w:rPr>
          <w:rFonts w:ascii="Simplified Arabic" w:eastAsia="Times New Roman" w:hAnsi="Simplified Arabic" w:cs="Simplified Arabic"/>
          <w:sz w:val="32"/>
          <w:szCs w:val="32"/>
          <w:shd w:val="clear" w:color="auto" w:fill="FFFFFF"/>
          <w:rtl/>
        </w:rPr>
        <w:t>388ه</w:t>
      </w:r>
      <w:proofErr w:type="spellEnd"/>
      <w:r w:rsidRPr="004645D4">
        <w:rPr>
          <w:rFonts w:ascii="Simplified Arabic" w:eastAsia="Times New Roman" w:hAnsi="Simplified Arabic" w:cs="Simplified Arabic"/>
          <w:sz w:val="32"/>
          <w:szCs w:val="32"/>
          <w:shd w:val="clear" w:color="auto" w:fill="FFFFFF"/>
          <w:rtl/>
        </w:rPr>
        <w:t>) (بيان إعجاز القرآن)، والباقلاني (</w:t>
      </w:r>
      <w:proofErr w:type="spellStart"/>
      <w:r w:rsidRPr="004645D4">
        <w:rPr>
          <w:rFonts w:ascii="Simplified Arabic" w:eastAsia="Times New Roman" w:hAnsi="Simplified Arabic" w:cs="Simplified Arabic"/>
          <w:sz w:val="32"/>
          <w:szCs w:val="32"/>
          <w:shd w:val="clear" w:color="auto" w:fill="FFFFFF"/>
          <w:rtl/>
        </w:rPr>
        <w:t>ت372ه</w:t>
      </w:r>
      <w:proofErr w:type="spellEnd"/>
      <w:r w:rsidRPr="004645D4">
        <w:rPr>
          <w:rFonts w:ascii="Simplified Arabic" w:eastAsia="Times New Roman" w:hAnsi="Simplified Arabic" w:cs="Simplified Arabic"/>
          <w:sz w:val="32"/>
          <w:szCs w:val="32"/>
          <w:shd w:val="clear" w:color="auto" w:fill="FFFFFF"/>
          <w:rtl/>
        </w:rPr>
        <w:t xml:space="preserve">) (إعجاز القرآن). يقول محمد خلف في مقدمة تحقيقه لكتاب (ثلاث رسائل في إعجاز القرآن للرماني والخطابي وعبد القاهر الجرجاني): ''يمثل القرنان الرابع والخامس مرحلة خصبة في تاريخ الدراسات القرآنية والنقدية. ففيهما نضجت نظريات العلماء في إعجاز القرآن، وتحددت اتجاهاتهم ومنازعهم في الكشف عن أسراره.'' </w:t>
      </w:r>
    </w:p>
    <w:p w:rsidR="00F51FEE" w:rsidRPr="004645D4" w:rsidRDefault="00F51FEE" w:rsidP="004645D4">
      <w:pPr>
        <w:shd w:val="clear" w:color="auto" w:fill="FFFFFF"/>
        <w:tabs>
          <w:tab w:val="right" w:pos="8786"/>
        </w:tabs>
        <w:bidi/>
        <w:spacing w:after="0" w:line="360" w:lineRule="auto"/>
        <w:ind w:left="-3" w:right="284"/>
        <w:jc w:val="both"/>
        <w:rPr>
          <w:rFonts w:ascii="Simplified Arabic" w:eastAsia="Times New Roman" w:hAnsi="Simplified Arabic" w:cs="Simplified Arabic"/>
          <w:sz w:val="32"/>
          <w:szCs w:val="32"/>
          <w:shd w:val="clear" w:color="auto" w:fill="FFFFFF"/>
          <w:rtl/>
        </w:rPr>
      </w:pPr>
      <w:r w:rsidRPr="004645D4">
        <w:rPr>
          <w:rFonts w:ascii="Simplified Arabic" w:eastAsia="Times New Roman" w:hAnsi="Simplified Arabic" w:cs="Simplified Arabic"/>
          <w:sz w:val="32"/>
          <w:szCs w:val="32"/>
          <w:shd w:val="clear" w:color="auto" w:fill="FFFFFF"/>
          <w:rtl/>
        </w:rPr>
        <w:t xml:space="preserve"> وقد شكلت تلك الدراسات القرآنية رافدا مهما من روافد البلاغة والبلاغيين، إذ راحت تمدهم بالمواقف والرؤى، ويتجلى ذلك في كتاب ابن سنان الخفاجي (ت 466 ه) (سر </w:t>
      </w:r>
      <w:r w:rsidRPr="004645D4">
        <w:rPr>
          <w:rFonts w:ascii="Simplified Arabic" w:eastAsia="Times New Roman" w:hAnsi="Simplified Arabic" w:cs="Simplified Arabic"/>
          <w:sz w:val="32"/>
          <w:szCs w:val="32"/>
          <w:shd w:val="clear" w:color="auto" w:fill="FFFFFF"/>
          <w:rtl/>
        </w:rPr>
        <w:lastRenderedPageBreak/>
        <w:t>الفصاحة)، وكتاب أبي هلال العسكري (الصناعتين)، ليبلغ البحث النقدي والدرس الإعجازي أوجه مع الإمام عبد القاهر الجرجاني (</w:t>
      </w:r>
      <w:proofErr w:type="spellStart"/>
      <w:r w:rsidRPr="004645D4">
        <w:rPr>
          <w:rFonts w:ascii="Simplified Arabic" w:eastAsia="Times New Roman" w:hAnsi="Simplified Arabic" w:cs="Simplified Arabic"/>
          <w:sz w:val="32"/>
          <w:szCs w:val="32"/>
          <w:shd w:val="clear" w:color="auto" w:fill="FFFFFF"/>
          <w:rtl/>
        </w:rPr>
        <w:t>ت471ه</w:t>
      </w:r>
      <w:proofErr w:type="spellEnd"/>
      <w:r w:rsidRPr="004645D4">
        <w:rPr>
          <w:rFonts w:ascii="Simplified Arabic" w:eastAsia="Times New Roman" w:hAnsi="Simplified Arabic" w:cs="Simplified Arabic"/>
          <w:sz w:val="32"/>
          <w:szCs w:val="32"/>
          <w:shd w:val="clear" w:color="auto" w:fill="FFFFFF"/>
          <w:rtl/>
        </w:rPr>
        <w:t>) في كتابيه (دلائل الإعجاز) و(أسرار البلاغة)</w:t>
      </w:r>
      <w:r w:rsidRPr="004645D4">
        <w:rPr>
          <w:rFonts w:ascii="Simplified Arabic" w:eastAsia="Times New Roman" w:hAnsi="Simplified Arabic" w:cs="Simplified Arabic"/>
          <w:sz w:val="32"/>
          <w:szCs w:val="32"/>
          <w:shd w:val="clear" w:color="auto" w:fill="FFFFFF"/>
        </w:rPr>
        <w:t>.</w:t>
      </w:r>
      <w:r w:rsidRPr="004645D4">
        <w:rPr>
          <w:rFonts w:ascii="Simplified Arabic" w:eastAsia="Times New Roman" w:hAnsi="Simplified Arabic" w:cs="Simplified Arabic"/>
          <w:sz w:val="32"/>
          <w:szCs w:val="32"/>
          <w:shd w:val="clear" w:color="auto" w:fill="FFFFFF"/>
          <w:rtl/>
        </w:rPr>
        <w:t xml:space="preserve"> </w:t>
      </w:r>
    </w:p>
    <w:p w:rsidR="00F51FEE" w:rsidRPr="004645D4" w:rsidRDefault="00F51FEE" w:rsidP="004645D4">
      <w:pPr>
        <w:bidi/>
        <w:spacing w:line="360" w:lineRule="auto"/>
        <w:ind w:right="284"/>
        <w:jc w:val="both"/>
        <w:rPr>
          <w:rFonts w:ascii="Simplified Arabic" w:hAnsi="Simplified Arabic" w:cs="Simplified Arabic"/>
          <w:sz w:val="32"/>
          <w:szCs w:val="32"/>
          <w:rtl/>
          <w:lang w:bidi="ar-DZ"/>
        </w:rPr>
      </w:pPr>
      <w:r w:rsidRPr="004645D4">
        <w:rPr>
          <w:rFonts w:ascii="Simplified Arabic" w:eastAsia="Times New Roman" w:hAnsi="Simplified Arabic" w:cs="Simplified Arabic"/>
          <w:sz w:val="32"/>
          <w:szCs w:val="32"/>
          <w:shd w:val="clear" w:color="auto" w:fill="FFFFFF"/>
          <w:rtl/>
        </w:rPr>
        <w:t xml:space="preserve">وهذا ما جعل البلاغة وكتب الإعجاز أكثر ارتباطا، فلا يمكن فهم تلك دون العودة إلى هذه، خاصة إذا أخذنا بعين الاعتبار أن البحث في القرآن كان الدافع للبحث في الشعر واللغة، أو بمعنى أدق كان باعثا للبحث في لغة الشعر على وجه التحديد، ولأن القرآن له فضل في توجيه الحضارة العربية الإسلامية، وتكوين العقل العلمي واللغوي، وأيضا في تسيير الجهد النقدي والبحث البلاغي، وتربية ملكة النقد الأدبي وتهذيب الذوق عند العرب وتطوره، لاسيما وأن القاطع المشترك بينهما واحد وهو اللغة. فقد صار الشاهد القرآني هو الحكم الفصل بين فنون القول وأنماط الأساليب، وفي البحوث النقدية والدراسات الأدبية، ذلك أن القرآن معجز بألفاظه ومعانيه وأسلوبه، متميز بما جاء به من سبك وتركيب وتماسك وبيان ونظم، وحسن تأليف، والتئام أجزاء وفصاحة وبلاغة </w:t>
      </w:r>
      <w:r w:rsidRPr="004645D4">
        <w:rPr>
          <w:rFonts w:ascii="Simplified Arabic" w:eastAsia="Times New Roman" w:hAnsi="Simplified Arabic" w:cs="Simplified Arabic"/>
          <w:sz w:val="32"/>
          <w:szCs w:val="32"/>
          <w:shd w:val="clear" w:color="auto" w:fill="FFFFFF"/>
        </w:rPr>
        <w:t>.</w:t>
      </w:r>
      <w:r w:rsidRPr="004645D4">
        <w:rPr>
          <w:rFonts w:ascii="Simplified Arabic" w:eastAsia="Times New Roman" w:hAnsi="Simplified Arabic" w:cs="Simplified Arabic"/>
          <w:sz w:val="32"/>
          <w:szCs w:val="32"/>
          <w:shd w:val="clear" w:color="auto" w:fill="FFFFFF"/>
          <w:rtl/>
        </w:rPr>
        <w:t xml:space="preserve"> يقول الطاهر حليس موضحا دور القرآن وفضله على الحركة العربية اللغوية والنقدية والبلاغية: </w:t>
      </w:r>
      <w:r w:rsidRPr="004645D4">
        <w:rPr>
          <w:rFonts w:ascii="Simplified Arabic" w:hAnsi="Simplified Arabic" w:cs="Simplified Arabic"/>
          <w:sz w:val="32"/>
          <w:szCs w:val="32"/>
          <w:rtl/>
          <w:lang w:bidi="ar-DZ"/>
        </w:rPr>
        <w:t xml:space="preserve">''كان لنزول القرآن أثره في نهضة البلاغة وعلوم البيان عند العرب لما جاء به من جديد في أساليب التعبير والبيان، فدفعهم إلى الانشغال به ودراسته دراسة ميدانية كل حسب اهتماماته. فالمفسرون يتتبعون آياته، والفقهاء يستنبطون منه أحكام وأصول الشريعة، واللغويون يبحثون في الألفاظ العربية والمعربة، الغريبة وغير الغريبة، والنحويون يتتبعون أوجه </w:t>
      </w:r>
      <w:r w:rsidRPr="004645D4">
        <w:rPr>
          <w:rFonts w:ascii="Simplified Arabic" w:hAnsi="Simplified Arabic" w:cs="Simplified Arabic"/>
          <w:sz w:val="32"/>
          <w:szCs w:val="32"/>
          <w:rtl/>
          <w:lang w:bidi="ar-DZ"/>
        </w:rPr>
        <w:lastRenderedPageBreak/>
        <w:t xml:space="preserve">الإعراب لآياته، والبلاغيون يستقصون بيانه وبديعه، والنقاد يتخذون من الشاهد القرآني النموذج المحتذى في الصياغة من حيث تلاؤم اللفظ مع المعنى'' </w:t>
      </w:r>
    </w:p>
    <w:p w:rsidR="00F51FEE" w:rsidRPr="004645D4" w:rsidRDefault="00F51FEE" w:rsidP="004645D4">
      <w:pPr>
        <w:tabs>
          <w:tab w:val="right" w:pos="8786"/>
        </w:tabs>
        <w:bidi/>
        <w:spacing w:line="360" w:lineRule="auto"/>
        <w:ind w:left="-3" w:right="284"/>
        <w:jc w:val="both"/>
        <w:rPr>
          <w:rFonts w:ascii="Simplified Arabic" w:hAnsi="Simplified Arabic" w:cs="Simplified Arabic"/>
          <w:b/>
          <w:bCs/>
          <w:sz w:val="32"/>
          <w:szCs w:val="32"/>
          <w:rtl/>
        </w:rPr>
      </w:pPr>
      <w:r w:rsidRPr="004645D4">
        <w:rPr>
          <w:rFonts w:ascii="Simplified Arabic" w:hAnsi="Simplified Arabic" w:cs="Simplified Arabic"/>
          <w:b/>
          <w:bCs/>
          <w:sz w:val="32"/>
          <w:szCs w:val="32"/>
          <w:rtl/>
        </w:rPr>
        <w:t xml:space="preserve">قضايا النقد </w:t>
      </w:r>
      <w:proofErr w:type="gramStart"/>
      <w:r w:rsidRPr="004645D4">
        <w:rPr>
          <w:rFonts w:ascii="Simplified Arabic" w:hAnsi="Simplified Arabic" w:cs="Simplified Arabic"/>
          <w:b/>
          <w:bCs/>
          <w:sz w:val="32"/>
          <w:szCs w:val="32"/>
          <w:rtl/>
        </w:rPr>
        <w:t>في</w:t>
      </w:r>
      <w:proofErr w:type="gramEnd"/>
      <w:r w:rsidRPr="004645D4">
        <w:rPr>
          <w:rFonts w:ascii="Simplified Arabic" w:hAnsi="Simplified Arabic" w:cs="Simplified Arabic"/>
          <w:b/>
          <w:bCs/>
          <w:sz w:val="32"/>
          <w:szCs w:val="32"/>
          <w:rtl/>
        </w:rPr>
        <w:t xml:space="preserve"> كتب الإعجاز:</w:t>
      </w:r>
    </w:p>
    <w:p w:rsidR="00F51FEE" w:rsidRPr="004645D4" w:rsidRDefault="00F51FEE" w:rsidP="004645D4">
      <w:pPr>
        <w:tabs>
          <w:tab w:val="right" w:pos="8786"/>
        </w:tabs>
        <w:bidi/>
        <w:spacing w:line="360" w:lineRule="auto"/>
        <w:ind w:left="-3" w:right="284"/>
        <w:jc w:val="both"/>
        <w:rPr>
          <w:rFonts w:ascii="Simplified Arabic" w:hAnsi="Simplified Arabic" w:cs="Simplified Arabic"/>
          <w:sz w:val="32"/>
          <w:szCs w:val="32"/>
          <w:rtl/>
        </w:rPr>
      </w:pPr>
      <w:proofErr w:type="gramStart"/>
      <w:r w:rsidRPr="004645D4">
        <w:rPr>
          <w:rFonts w:ascii="Simplified Arabic" w:hAnsi="Simplified Arabic" w:cs="Simplified Arabic"/>
          <w:sz w:val="32"/>
          <w:szCs w:val="32"/>
          <w:rtl/>
        </w:rPr>
        <w:t>قضايا</w:t>
      </w:r>
      <w:proofErr w:type="gramEnd"/>
      <w:r w:rsidRPr="004645D4">
        <w:rPr>
          <w:rFonts w:ascii="Simplified Arabic" w:hAnsi="Simplified Arabic" w:cs="Simplified Arabic"/>
          <w:sz w:val="32"/>
          <w:szCs w:val="32"/>
          <w:rtl/>
        </w:rPr>
        <w:t xml:space="preserve"> النقد في كتب الإعجاز مهمة ومميزة، أنارت كثيرا من زوايا القراءات النقدية، وبسطت العديد من المفاهيم والأفكار، وعكست وجهات نظر مغايرة لتلك التي تميز بها النقد عموما. ومن القضايا والمفاهيم البلاغية التي ساهمت دراسات الإعجاز </w:t>
      </w:r>
      <w:proofErr w:type="gramStart"/>
      <w:r w:rsidRPr="004645D4">
        <w:rPr>
          <w:rFonts w:ascii="Simplified Arabic" w:hAnsi="Simplified Arabic" w:cs="Simplified Arabic"/>
          <w:sz w:val="32"/>
          <w:szCs w:val="32"/>
          <w:rtl/>
        </w:rPr>
        <w:t>في</w:t>
      </w:r>
      <w:proofErr w:type="gramEnd"/>
      <w:r w:rsidRPr="004645D4">
        <w:rPr>
          <w:rFonts w:ascii="Simplified Arabic" w:hAnsi="Simplified Arabic" w:cs="Simplified Arabic"/>
          <w:sz w:val="32"/>
          <w:szCs w:val="32"/>
          <w:rtl/>
        </w:rPr>
        <w:t xml:space="preserve"> بلورتها: البديع، السجع، البيان، النظم، اللفظ والمعنى.</w:t>
      </w:r>
    </w:p>
    <w:p w:rsidR="00F51FEE" w:rsidRPr="004645D4" w:rsidRDefault="00F51FEE" w:rsidP="004645D4">
      <w:pPr>
        <w:tabs>
          <w:tab w:val="right" w:pos="8786"/>
        </w:tabs>
        <w:bidi/>
        <w:spacing w:line="360" w:lineRule="auto"/>
        <w:ind w:left="-3" w:right="284"/>
        <w:jc w:val="both"/>
        <w:rPr>
          <w:rFonts w:ascii="Simplified Arabic" w:hAnsi="Simplified Arabic" w:cs="Simplified Arabic"/>
          <w:b/>
          <w:bCs/>
          <w:sz w:val="32"/>
          <w:szCs w:val="32"/>
          <w:rtl/>
        </w:rPr>
      </w:pPr>
      <w:r w:rsidRPr="004645D4">
        <w:rPr>
          <w:rFonts w:ascii="Simplified Arabic" w:hAnsi="Simplified Arabic" w:cs="Simplified Arabic"/>
          <w:b/>
          <w:bCs/>
          <w:sz w:val="32"/>
          <w:szCs w:val="32"/>
          <w:rtl/>
        </w:rPr>
        <w:t>نماذج</w:t>
      </w:r>
      <w:r w:rsidRPr="004645D4">
        <w:rPr>
          <w:rFonts w:ascii="Simplified Arabic" w:hAnsi="Simplified Arabic" w:cs="Simplified Arabic"/>
          <w:b/>
          <w:bCs/>
          <w:sz w:val="32"/>
          <w:szCs w:val="32"/>
        </w:rPr>
        <w:t xml:space="preserve"> </w:t>
      </w:r>
      <w:r w:rsidRPr="004645D4">
        <w:rPr>
          <w:rFonts w:ascii="Simplified Arabic" w:hAnsi="Simplified Arabic" w:cs="Simplified Arabic"/>
          <w:b/>
          <w:bCs/>
          <w:sz w:val="32"/>
          <w:szCs w:val="32"/>
          <w:rtl/>
          <w:lang w:bidi="ar-DZ"/>
        </w:rPr>
        <w:t>نصية من المشرق</w:t>
      </w:r>
      <w:r w:rsidRPr="004645D4">
        <w:rPr>
          <w:rFonts w:ascii="Simplified Arabic" w:hAnsi="Simplified Arabic" w:cs="Simplified Arabic"/>
          <w:b/>
          <w:bCs/>
          <w:sz w:val="32"/>
          <w:szCs w:val="32"/>
          <w:rtl/>
        </w:rPr>
        <w:t>:</w:t>
      </w:r>
    </w:p>
    <w:p w:rsidR="00F51FEE" w:rsidRPr="004645D4" w:rsidRDefault="00F51FEE" w:rsidP="004645D4">
      <w:pPr>
        <w:tabs>
          <w:tab w:val="right" w:pos="8786"/>
        </w:tabs>
        <w:bidi/>
        <w:spacing w:line="360" w:lineRule="auto"/>
        <w:ind w:left="-3" w:right="284"/>
        <w:jc w:val="both"/>
        <w:rPr>
          <w:rFonts w:ascii="Simplified Arabic" w:hAnsi="Simplified Arabic" w:cs="Simplified Arabic"/>
          <w:sz w:val="32"/>
          <w:szCs w:val="32"/>
          <w:rtl/>
        </w:rPr>
      </w:pPr>
      <w:r w:rsidRPr="004645D4">
        <w:rPr>
          <w:rFonts w:ascii="Simplified Arabic" w:hAnsi="Simplified Arabic" w:cs="Simplified Arabic"/>
          <w:sz w:val="32"/>
          <w:szCs w:val="32"/>
          <w:rtl/>
        </w:rPr>
        <w:t xml:space="preserve">*قال أبو سليمان حمد بن محمد بن إبراهيم الخطابي (319/ </w:t>
      </w:r>
      <w:proofErr w:type="spellStart"/>
      <w:r w:rsidRPr="004645D4">
        <w:rPr>
          <w:rFonts w:ascii="Simplified Arabic" w:hAnsi="Simplified Arabic" w:cs="Simplified Arabic"/>
          <w:sz w:val="32"/>
          <w:szCs w:val="32"/>
          <w:rtl/>
        </w:rPr>
        <w:t>388ه</w:t>
      </w:r>
      <w:proofErr w:type="spellEnd"/>
      <w:r w:rsidRPr="004645D4">
        <w:rPr>
          <w:rFonts w:ascii="Simplified Arabic" w:hAnsi="Simplified Arabic" w:cs="Simplified Arabic"/>
          <w:sz w:val="32"/>
          <w:szCs w:val="32"/>
          <w:rtl/>
        </w:rPr>
        <w:t xml:space="preserve">): ''واعلم أن القرآن إنما صار معجزا لأنه جاء بأفصح الألفاظ في أحسن </w:t>
      </w:r>
      <w:proofErr w:type="spellStart"/>
      <w:r w:rsidRPr="004645D4">
        <w:rPr>
          <w:rFonts w:ascii="Simplified Arabic" w:hAnsi="Simplified Arabic" w:cs="Simplified Arabic"/>
          <w:sz w:val="32"/>
          <w:szCs w:val="32"/>
          <w:rtl/>
        </w:rPr>
        <w:t>نظوم</w:t>
      </w:r>
      <w:proofErr w:type="spellEnd"/>
      <w:r w:rsidRPr="004645D4">
        <w:rPr>
          <w:rFonts w:ascii="Simplified Arabic" w:hAnsi="Simplified Arabic" w:cs="Simplified Arabic"/>
          <w:sz w:val="32"/>
          <w:szCs w:val="32"/>
          <w:rtl/>
        </w:rPr>
        <w:t xml:space="preserve"> التأليف مضمنا أصح المعاني،...'' </w:t>
      </w:r>
      <w:r w:rsidRPr="004645D4">
        <w:rPr>
          <w:rFonts w:ascii="Simplified Arabic" w:eastAsia="Times New Roman" w:hAnsi="Simplified Arabic" w:cs="Simplified Arabic"/>
          <w:sz w:val="32"/>
          <w:szCs w:val="32"/>
          <w:shd w:val="clear" w:color="auto" w:fill="FFFFFF"/>
          <w:rtl/>
        </w:rPr>
        <w:t xml:space="preserve">(الخطابي: بيان إعجاز القرآن، تح محمد خلف والدكتور محمد زغلول سلام، </w:t>
      </w:r>
      <w:r w:rsidRPr="004645D4">
        <w:rPr>
          <w:rFonts w:ascii="Simplified Arabic" w:hAnsi="Simplified Arabic" w:cs="Simplified Arabic"/>
          <w:sz w:val="32"/>
          <w:szCs w:val="32"/>
          <w:rtl/>
        </w:rPr>
        <w:t>ص: 27.)</w:t>
      </w:r>
    </w:p>
    <w:p w:rsidR="00F51FEE" w:rsidRPr="004645D4" w:rsidRDefault="00F51FEE" w:rsidP="004645D4">
      <w:pPr>
        <w:tabs>
          <w:tab w:val="right" w:pos="8786"/>
        </w:tabs>
        <w:bidi/>
        <w:spacing w:line="360" w:lineRule="auto"/>
        <w:ind w:left="-3" w:right="284"/>
        <w:jc w:val="both"/>
        <w:rPr>
          <w:rFonts w:ascii="Simplified Arabic" w:hAnsi="Simplified Arabic" w:cs="Simplified Arabic"/>
          <w:sz w:val="32"/>
          <w:szCs w:val="32"/>
          <w:rtl/>
        </w:rPr>
      </w:pPr>
      <w:r w:rsidRPr="004645D4">
        <w:rPr>
          <w:rFonts w:ascii="Simplified Arabic" w:hAnsi="Simplified Arabic" w:cs="Simplified Arabic"/>
          <w:sz w:val="32"/>
          <w:szCs w:val="32"/>
          <w:rtl/>
        </w:rPr>
        <w:t xml:space="preserve">وقال: '' ثم اعلم أن عمود هذه البلاغة التي تجمع لها هذه الصفات هو وضع كل نوع من الألفاظ التي تشتمل عليها فصول الكلام موضعه الأخص الأشكل به، الذي إذا أبدل مكانه غيره جاء منه: إما تبدل المعنى الذي يكون منه فساد الكلام، وإما ذهاب الرونق الذي يكون معه سقوط البلاغة، ذلك أن في الكلام ألفاظا متقاربة في المعاني يحسب </w:t>
      </w:r>
      <w:r w:rsidRPr="004645D4">
        <w:rPr>
          <w:rFonts w:ascii="Simplified Arabic" w:hAnsi="Simplified Arabic" w:cs="Simplified Arabic"/>
          <w:sz w:val="32"/>
          <w:szCs w:val="32"/>
          <w:rtl/>
        </w:rPr>
        <w:lastRenderedPageBreak/>
        <w:t xml:space="preserve">أكثر الناس أنها متساوية في إفادة بيان مراد الخطاب، كالعلم والمعرفة، والحمد والشكر، والبخل والشح، وكالنعت والصفة...'' </w:t>
      </w:r>
    </w:p>
    <w:p w:rsidR="00F51FEE" w:rsidRPr="004645D4" w:rsidRDefault="00F51FEE" w:rsidP="004645D4">
      <w:pPr>
        <w:tabs>
          <w:tab w:val="right" w:pos="8786"/>
        </w:tabs>
        <w:bidi/>
        <w:spacing w:line="360" w:lineRule="auto"/>
        <w:ind w:right="284"/>
        <w:jc w:val="both"/>
        <w:rPr>
          <w:rFonts w:ascii="Simplified Arabic" w:hAnsi="Simplified Arabic" w:cs="Simplified Arabic"/>
          <w:sz w:val="32"/>
          <w:szCs w:val="32"/>
        </w:rPr>
      </w:pPr>
      <w:r w:rsidRPr="004645D4">
        <w:rPr>
          <w:rFonts w:ascii="Simplified Arabic" w:hAnsi="Simplified Arabic" w:cs="Simplified Arabic"/>
          <w:sz w:val="32"/>
          <w:szCs w:val="32"/>
          <w:rtl/>
        </w:rPr>
        <w:t>*</w:t>
      </w:r>
      <w:proofErr w:type="gramStart"/>
      <w:r w:rsidRPr="004645D4">
        <w:rPr>
          <w:rFonts w:ascii="Simplified Arabic" w:hAnsi="Simplified Arabic" w:cs="Simplified Arabic"/>
          <w:sz w:val="32"/>
          <w:szCs w:val="32"/>
          <w:rtl/>
        </w:rPr>
        <w:t>قال</w:t>
      </w:r>
      <w:proofErr w:type="gramEnd"/>
      <w:r w:rsidRPr="004645D4">
        <w:rPr>
          <w:rFonts w:ascii="Simplified Arabic" w:hAnsi="Simplified Arabic" w:cs="Simplified Arabic"/>
          <w:sz w:val="32"/>
          <w:szCs w:val="32"/>
          <w:rtl/>
        </w:rPr>
        <w:t xml:space="preserve"> أبو الحسن علي بن عيسى الرماني: '' فأما البلاغة فهي على ثلاث طبقات: منها ما هو أعلى طبقة، ومنها ما هو في أدنى طبقة، ومنها ما هو في الوسائط بين أعلى طبقة وأدنى طبقة. </w:t>
      </w:r>
      <w:proofErr w:type="gramStart"/>
      <w:r w:rsidRPr="004645D4">
        <w:rPr>
          <w:rFonts w:ascii="Simplified Arabic" w:hAnsi="Simplified Arabic" w:cs="Simplified Arabic"/>
          <w:sz w:val="32"/>
          <w:szCs w:val="32"/>
          <w:rtl/>
        </w:rPr>
        <w:t>فما</w:t>
      </w:r>
      <w:proofErr w:type="gramEnd"/>
      <w:r w:rsidRPr="004645D4">
        <w:rPr>
          <w:rFonts w:ascii="Simplified Arabic" w:hAnsi="Simplified Arabic" w:cs="Simplified Arabic"/>
          <w:sz w:val="32"/>
          <w:szCs w:val="32"/>
          <w:rtl/>
        </w:rPr>
        <w:t xml:space="preserve"> كان في أعلاها طبقة فهو معجز، وهو بلاغة القرآن. وما كان منها دون ذلك فهو ممكن كبلاغة البلغاء من الناس. وليست البلاغة إفهام المعنى، لأنه قد يحقق اللفظ على المعنى وهو غث مستكره ومنافر متكلف. وإنما البلاغة إيصال المعنى إلى القلب </w:t>
      </w:r>
      <w:proofErr w:type="gramStart"/>
      <w:r w:rsidRPr="004645D4">
        <w:rPr>
          <w:rFonts w:ascii="Simplified Arabic" w:hAnsi="Simplified Arabic" w:cs="Simplified Arabic"/>
          <w:sz w:val="32"/>
          <w:szCs w:val="32"/>
          <w:rtl/>
        </w:rPr>
        <w:t>في</w:t>
      </w:r>
      <w:proofErr w:type="gramEnd"/>
      <w:r w:rsidRPr="004645D4">
        <w:rPr>
          <w:rFonts w:ascii="Simplified Arabic" w:hAnsi="Simplified Arabic" w:cs="Simplified Arabic"/>
          <w:sz w:val="32"/>
          <w:szCs w:val="32"/>
          <w:rtl/>
        </w:rPr>
        <w:t xml:space="preserve"> أحسن صورة من اللفظ... </w:t>
      </w:r>
      <w:proofErr w:type="gramStart"/>
      <w:r w:rsidRPr="004645D4">
        <w:rPr>
          <w:rFonts w:ascii="Simplified Arabic" w:hAnsi="Simplified Arabic" w:cs="Simplified Arabic"/>
          <w:sz w:val="32"/>
          <w:szCs w:val="32"/>
          <w:rtl/>
        </w:rPr>
        <w:t>والبلاغة</w:t>
      </w:r>
      <w:proofErr w:type="gramEnd"/>
      <w:r w:rsidRPr="004645D4">
        <w:rPr>
          <w:rFonts w:ascii="Simplified Arabic" w:hAnsi="Simplified Arabic" w:cs="Simplified Arabic"/>
          <w:sz w:val="32"/>
          <w:szCs w:val="32"/>
          <w:rtl/>
        </w:rPr>
        <w:t xml:space="preserve"> على عشرة أقسام: الإيجاز، والتشبيه، والاستعارة، والتلاؤم، والفواصل، والتجانس، والتصريف، والتضمين، والمبالغة، وحسن البيان.'' </w:t>
      </w:r>
    </w:p>
    <w:p w:rsidR="00F51FEE" w:rsidRPr="004645D4" w:rsidRDefault="00F51FEE" w:rsidP="004645D4">
      <w:pPr>
        <w:tabs>
          <w:tab w:val="right" w:pos="8786"/>
        </w:tabs>
        <w:bidi/>
        <w:spacing w:line="360" w:lineRule="auto"/>
        <w:ind w:right="284"/>
        <w:jc w:val="both"/>
        <w:rPr>
          <w:rFonts w:ascii="Simplified Arabic" w:hAnsi="Simplified Arabic" w:cs="Simplified Arabic"/>
          <w:b/>
          <w:bCs/>
          <w:sz w:val="32"/>
          <w:szCs w:val="32"/>
          <w:rtl/>
          <w:lang w:bidi="ar-DZ"/>
        </w:rPr>
      </w:pPr>
      <w:r w:rsidRPr="004645D4">
        <w:rPr>
          <w:rFonts w:ascii="Simplified Arabic" w:hAnsi="Simplified Arabic" w:cs="Simplified Arabic"/>
          <w:b/>
          <w:bCs/>
          <w:sz w:val="32"/>
          <w:szCs w:val="32"/>
          <w:rtl/>
        </w:rPr>
        <w:t>نماذج</w:t>
      </w:r>
      <w:r w:rsidRPr="004645D4">
        <w:rPr>
          <w:rFonts w:ascii="Simplified Arabic" w:hAnsi="Simplified Arabic" w:cs="Simplified Arabic"/>
          <w:b/>
          <w:bCs/>
          <w:sz w:val="32"/>
          <w:szCs w:val="32"/>
        </w:rPr>
        <w:t xml:space="preserve"> </w:t>
      </w:r>
      <w:r w:rsidRPr="004645D4">
        <w:rPr>
          <w:rFonts w:ascii="Simplified Arabic" w:hAnsi="Simplified Arabic" w:cs="Simplified Arabic"/>
          <w:b/>
          <w:bCs/>
          <w:sz w:val="32"/>
          <w:szCs w:val="32"/>
          <w:rtl/>
          <w:lang w:bidi="ar-DZ"/>
        </w:rPr>
        <w:t>نصية من المغرب:</w:t>
      </w:r>
    </w:p>
    <w:p w:rsidR="00F51FEE" w:rsidRPr="004645D4" w:rsidRDefault="00F51FEE" w:rsidP="004645D4">
      <w:pPr>
        <w:tabs>
          <w:tab w:val="right" w:pos="8786"/>
        </w:tabs>
        <w:bidi/>
        <w:spacing w:line="360" w:lineRule="auto"/>
        <w:ind w:right="284"/>
        <w:jc w:val="both"/>
        <w:rPr>
          <w:rFonts w:ascii="Simplified Arabic" w:hAnsi="Simplified Arabic" w:cs="Simplified Arabic"/>
          <w:sz w:val="32"/>
          <w:szCs w:val="32"/>
          <w:rtl/>
          <w:lang w:bidi="ar-DZ"/>
        </w:rPr>
      </w:pPr>
      <w:r w:rsidRPr="004645D4">
        <w:rPr>
          <w:rFonts w:ascii="Simplified Arabic" w:hAnsi="Simplified Arabic" w:cs="Simplified Arabic"/>
          <w:sz w:val="32"/>
          <w:szCs w:val="32"/>
          <w:rtl/>
          <w:lang w:bidi="ar-DZ"/>
        </w:rPr>
        <w:t xml:space="preserve">*قال ابن خلدون في أهمية دراسة القرآن والإعجاز ومدى ارتباطه بالبيان: ''واعلم أن ثمرة هذا الفن إنما هي في فهم الإعجاز من القرآن، لأن إعجازه في وفاء الدلالة منه بجميع مقتضيات الأحوال منطوقة ومفهومة، وهي أعلى مراتب الكمال، مع الكلام فيما يختص بالألفاظ، في انتقائها وجودة رصفها وتركيبها، وهذا هو الإعجاز الذي تقصر الأفهام عن إدراكه، وإنما يدرك بعض الشيء منه من كان له ذوق بمخالطة اللسان العربي وحصول ملكته فيدرك من إعجازه على قدر ذوقه.'' </w:t>
      </w:r>
    </w:p>
    <w:p w:rsidR="004645D4" w:rsidRPr="004645D4" w:rsidRDefault="00F51FEE" w:rsidP="004645D4">
      <w:pPr>
        <w:tabs>
          <w:tab w:val="right" w:pos="8786"/>
        </w:tabs>
        <w:bidi/>
        <w:spacing w:line="360" w:lineRule="auto"/>
        <w:ind w:right="284"/>
        <w:jc w:val="both"/>
        <w:rPr>
          <w:rFonts w:ascii="Simplified Arabic" w:hAnsi="Simplified Arabic" w:cs="Simplified Arabic" w:hint="cs"/>
          <w:sz w:val="32"/>
          <w:szCs w:val="32"/>
          <w:rtl/>
          <w:lang w:bidi="ar-DZ"/>
        </w:rPr>
      </w:pPr>
      <w:r w:rsidRPr="004645D4">
        <w:rPr>
          <w:rFonts w:ascii="Simplified Arabic" w:hAnsi="Simplified Arabic" w:cs="Simplified Arabic"/>
          <w:sz w:val="32"/>
          <w:szCs w:val="32"/>
          <w:rtl/>
          <w:lang w:bidi="ar-DZ"/>
        </w:rPr>
        <w:lastRenderedPageBreak/>
        <w:t>*ق</w:t>
      </w:r>
      <w:r w:rsidRPr="004645D4">
        <w:rPr>
          <w:rFonts w:ascii="Simplified Arabic" w:hAnsi="Simplified Arabic" w:cs="Simplified Arabic" w:hint="cs"/>
          <w:sz w:val="32"/>
          <w:szCs w:val="32"/>
          <w:rtl/>
          <w:lang w:bidi="ar-DZ"/>
        </w:rPr>
        <w:t>ا</w:t>
      </w:r>
      <w:r w:rsidRPr="004645D4">
        <w:rPr>
          <w:rFonts w:ascii="Simplified Arabic" w:hAnsi="Simplified Arabic" w:cs="Simplified Arabic"/>
          <w:sz w:val="32"/>
          <w:szCs w:val="32"/>
          <w:rtl/>
          <w:lang w:bidi="ar-DZ"/>
        </w:rPr>
        <w:t>ل المراكشي: ''الجهة المعجزة في القرآن تعرف بالتفكير في علم البيان، وهو ما يحترز به عن الخطأ في تأدية المعنى وعن تعقيده ويعرف به وجوه تحسين الكلام بعد رعاية تطبيقه على مقتضى الحال ... لأن</w:t>
      </w:r>
      <w:proofErr w:type="gramStart"/>
      <w:r w:rsidRPr="004645D4">
        <w:rPr>
          <w:rFonts w:ascii="Simplified Arabic" w:hAnsi="Simplified Arabic" w:cs="Simplified Arabic"/>
          <w:sz w:val="32"/>
          <w:szCs w:val="32"/>
          <w:rtl/>
          <w:lang w:bidi="ar-DZ"/>
        </w:rPr>
        <w:t xml:space="preserve"> جهة إع</w:t>
      </w:r>
      <w:proofErr w:type="gramEnd"/>
      <w:r w:rsidRPr="004645D4">
        <w:rPr>
          <w:rFonts w:ascii="Simplified Arabic" w:hAnsi="Simplified Arabic" w:cs="Simplified Arabic"/>
          <w:sz w:val="32"/>
          <w:szCs w:val="32"/>
          <w:rtl/>
          <w:lang w:bidi="ar-DZ"/>
        </w:rPr>
        <w:t xml:space="preserve">جازه ليست مفردات ألفاظ وإلا لكانت قبل نزوله معجزة ولا مجرد تأليفها وإلا كان كل تأليف معجزا ولا إعرابها وإلا كان كل كلام معرب معجزا ولا مجرد أسلوبه وإلا لكان الابتداء بأسلوب الشعر معجزا ... ولكان هذيان مسيلمة معجزا...'' </w:t>
      </w:r>
    </w:p>
    <w:p w:rsidR="00F51FEE" w:rsidRPr="004645D4" w:rsidRDefault="00F51FEE" w:rsidP="004645D4">
      <w:pPr>
        <w:tabs>
          <w:tab w:val="right" w:pos="8786"/>
        </w:tabs>
        <w:bidi/>
        <w:spacing w:line="360" w:lineRule="auto"/>
        <w:ind w:right="284"/>
        <w:jc w:val="both"/>
        <w:rPr>
          <w:rFonts w:ascii="Simplified Arabic" w:hAnsi="Simplified Arabic" w:cs="Simplified Arabic"/>
          <w:sz w:val="32"/>
          <w:szCs w:val="32"/>
          <w:rtl/>
          <w:lang w:bidi="ar-DZ"/>
        </w:rPr>
      </w:pPr>
      <w:r w:rsidRPr="004645D4">
        <w:rPr>
          <w:rFonts w:ascii="Simplified Arabic" w:hAnsi="Simplified Arabic" w:cs="Simplified Arabic"/>
          <w:sz w:val="32"/>
          <w:szCs w:val="32"/>
          <w:rtl/>
          <w:lang w:bidi="ar-DZ"/>
        </w:rPr>
        <w:t xml:space="preserve">*قال أبو عبد الله محمد بن أحمد بن أبي بكر بن فرح القرطبي: ''إنه ليس من متكلم كلاما كثيرا إلا وجد في كلامه اختلاف كثير، إما في الرصف واللفظ، وإما في جودة المعنى، وغما في التناقض وإما في الكذب، فأنزل الله عز وجل القرآن وأمرهم بتدبره، لأنهم لا يجدون فيه اختلافا.'' </w:t>
      </w:r>
    </w:p>
    <w:p w:rsidR="00F51FEE" w:rsidRPr="004645D4" w:rsidRDefault="00F51FEE" w:rsidP="004645D4">
      <w:pPr>
        <w:tabs>
          <w:tab w:val="right" w:pos="8786"/>
        </w:tabs>
        <w:bidi/>
        <w:spacing w:line="360" w:lineRule="auto"/>
        <w:ind w:left="-3" w:right="284"/>
        <w:jc w:val="both"/>
        <w:rPr>
          <w:rFonts w:ascii="Simplified Arabic" w:hAnsi="Simplified Arabic" w:cs="Simplified Arabic"/>
          <w:b/>
          <w:bCs/>
          <w:sz w:val="32"/>
          <w:szCs w:val="32"/>
          <w:rtl/>
        </w:rPr>
      </w:pPr>
      <w:r w:rsidRPr="004645D4">
        <w:rPr>
          <w:rFonts w:ascii="Simplified Arabic" w:hAnsi="Simplified Arabic" w:cs="Simplified Arabic"/>
          <w:b/>
          <w:bCs/>
          <w:sz w:val="32"/>
          <w:szCs w:val="32"/>
          <w:rtl/>
        </w:rPr>
        <w:t xml:space="preserve">مصادر </w:t>
      </w:r>
      <w:proofErr w:type="gramStart"/>
      <w:r w:rsidRPr="004645D4">
        <w:rPr>
          <w:rFonts w:ascii="Simplified Arabic" w:hAnsi="Simplified Arabic" w:cs="Simplified Arabic"/>
          <w:b/>
          <w:bCs/>
          <w:sz w:val="32"/>
          <w:szCs w:val="32"/>
          <w:rtl/>
        </w:rPr>
        <w:t>ومراجع</w:t>
      </w:r>
      <w:proofErr w:type="gramEnd"/>
      <w:r w:rsidRPr="004645D4">
        <w:rPr>
          <w:rFonts w:ascii="Simplified Arabic" w:hAnsi="Simplified Arabic" w:cs="Simplified Arabic"/>
          <w:b/>
          <w:bCs/>
          <w:sz w:val="32"/>
          <w:szCs w:val="32"/>
          <w:rtl/>
        </w:rPr>
        <w:t xml:space="preserve"> للتوسع:</w:t>
      </w:r>
    </w:p>
    <w:p w:rsidR="00F51FEE" w:rsidRPr="004645D4" w:rsidRDefault="00F51FEE" w:rsidP="004645D4">
      <w:pPr>
        <w:tabs>
          <w:tab w:val="right" w:pos="8786"/>
        </w:tabs>
        <w:bidi/>
        <w:spacing w:line="360" w:lineRule="auto"/>
        <w:ind w:left="-3" w:right="284"/>
        <w:jc w:val="both"/>
        <w:rPr>
          <w:rFonts w:ascii="Simplified Arabic" w:hAnsi="Simplified Arabic" w:cs="Simplified Arabic"/>
          <w:sz w:val="32"/>
          <w:szCs w:val="32"/>
          <w:rtl/>
          <w:lang w:bidi="ar-DZ"/>
        </w:rPr>
      </w:pPr>
      <w:r w:rsidRPr="004645D4">
        <w:rPr>
          <w:rFonts w:ascii="Simplified Arabic" w:eastAsia="Times New Roman" w:hAnsi="Simplified Arabic" w:cs="Simplified Arabic"/>
          <w:sz w:val="32"/>
          <w:szCs w:val="32"/>
          <w:shd w:val="clear" w:color="auto" w:fill="FFFFFF"/>
          <w:rtl/>
        </w:rPr>
        <w:t xml:space="preserve">1/ ثلاث رسائل في إعجاز القرآن للرماني والخطابي وعبد القاهر الجرجاني: تحقيق محمد خلف والدكتور محمد زغلول سلام، دار المعارف مصر، </w:t>
      </w:r>
      <w:proofErr w:type="spellStart"/>
      <w:r w:rsidRPr="004645D4">
        <w:rPr>
          <w:rFonts w:ascii="Simplified Arabic" w:eastAsia="Times New Roman" w:hAnsi="Simplified Arabic" w:cs="Simplified Arabic"/>
          <w:sz w:val="32"/>
          <w:szCs w:val="32"/>
          <w:shd w:val="clear" w:color="auto" w:fill="FFFFFF"/>
          <w:rtl/>
        </w:rPr>
        <w:t>ط3</w:t>
      </w:r>
      <w:proofErr w:type="spellEnd"/>
      <w:r w:rsidRPr="004645D4">
        <w:rPr>
          <w:rFonts w:ascii="Simplified Arabic" w:eastAsia="Times New Roman" w:hAnsi="Simplified Arabic" w:cs="Simplified Arabic"/>
          <w:sz w:val="32"/>
          <w:szCs w:val="32"/>
          <w:shd w:val="clear" w:color="auto" w:fill="FFFFFF"/>
          <w:rtl/>
        </w:rPr>
        <w:t>.</w:t>
      </w:r>
    </w:p>
    <w:p w:rsidR="00F51FEE" w:rsidRPr="004645D4" w:rsidRDefault="00F51FEE" w:rsidP="004645D4">
      <w:pPr>
        <w:tabs>
          <w:tab w:val="right" w:pos="8786"/>
        </w:tabs>
        <w:bidi/>
        <w:spacing w:line="360" w:lineRule="auto"/>
        <w:ind w:left="-3" w:right="284"/>
        <w:jc w:val="both"/>
        <w:rPr>
          <w:rFonts w:ascii="Simplified Arabic" w:hAnsi="Simplified Arabic" w:cs="Simplified Arabic"/>
          <w:sz w:val="32"/>
          <w:szCs w:val="32"/>
          <w:rtl/>
          <w:lang w:bidi="ar-DZ"/>
        </w:rPr>
      </w:pPr>
      <w:r w:rsidRPr="004645D4">
        <w:rPr>
          <w:rFonts w:ascii="Simplified Arabic" w:hAnsi="Simplified Arabic" w:cs="Simplified Arabic"/>
          <w:sz w:val="32"/>
          <w:szCs w:val="32"/>
          <w:rtl/>
          <w:lang w:bidi="ar-DZ"/>
        </w:rPr>
        <w:t>2/ الطاهر حليس: اتجاهات النقد العربي وقضاياه في القرن الرابع الهجري ومدى تأثرها بالقرآن، منشورات جامعة باتنة، 1986، ص: 112.</w:t>
      </w:r>
    </w:p>
    <w:p w:rsidR="00F51FEE" w:rsidRPr="004645D4" w:rsidRDefault="00F51FEE" w:rsidP="004645D4">
      <w:pPr>
        <w:tabs>
          <w:tab w:val="right" w:pos="8786"/>
        </w:tabs>
        <w:bidi/>
        <w:spacing w:line="360" w:lineRule="auto"/>
        <w:ind w:left="-3" w:right="284"/>
        <w:jc w:val="both"/>
        <w:rPr>
          <w:rFonts w:ascii="Simplified Arabic" w:hAnsi="Simplified Arabic" w:cs="Simplified Arabic"/>
          <w:sz w:val="32"/>
          <w:szCs w:val="32"/>
        </w:rPr>
      </w:pPr>
      <w:r w:rsidRPr="004645D4">
        <w:rPr>
          <w:rFonts w:ascii="Simplified Arabic" w:hAnsi="Simplified Arabic" w:cs="Simplified Arabic"/>
          <w:sz w:val="32"/>
          <w:szCs w:val="32"/>
          <w:rtl/>
          <w:lang w:bidi="ar-DZ"/>
        </w:rPr>
        <w:lastRenderedPageBreak/>
        <w:t xml:space="preserve">3/ </w:t>
      </w:r>
      <w:r w:rsidRPr="004645D4">
        <w:rPr>
          <w:rFonts w:ascii="Simplified Arabic" w:hAnsi="Simplified Arabic" w:cs="Simplified Arabic" w:hint="cs"/>
          <w:sz w:val="32"/>
          <w:szCs w:val="32"/>
          <w:rtl/>
          <w:lang w:bidi="ar-DZ"/>
        </w:rPr>
        <w:t xml:space="preserve">د. </w:t>
      </w:r>
      <w:proofErr w:type="gramStart"/>
      <w:r w:rsidRPr="004645D4">
        <w:rPr>
          <w:rFonts w:ascii="Simplified Arabic" w:hAnsi="Simplified Arabic" w:cs="Simplified Arabic"/>
          <w:sz w:val="32"/>
          <w:szCs w:val="32"/>
          <w:rtl/>
          <w:lang w:bidi="ar-DZ"/>
        </w:rPr>
        <w:t>إحسان</w:t>
      </w:r>
      <w:proofErr w:type="gramEnd"/>
      <w:r w:rsidRPr="004645D4">
        <w:rPr>
          <w:rFonts w:ascii="Simplified Arabic" w:hAnsi="Simplified Arabic" w:cs="Simplified Arabic"/>
          <w:sz w:val="32"/>
          <w:szCs w:val="32"/>
          <w:rtl/>
          <w:lang w:bidi="ar-DZ"/>
        </w:rPr>
        <w:t xml:space="preserve"> عباس: تاريخ النقد الأدبي عند العرب، نقد الشعر من القرن الثاني حتى القرن الثامن الهجري، دار الشروق للنشر والتوزيع، عمان، الأردن، </w:t>
      </w:r>
      <w:proofErr w:type="spellStart"/>
      <w:r w:rsidRPr="004645D4">
        <w:rPr>
          <w:rFonts w:ascii="Simplified Arabic" w:hAnsi="Simplified Arabic" w:cs="Simplified Arabic"/>
          <w:sz w:val="32"/>
          <w:szCs w:val="32"/>
          <w:rtl/>
          <w:lang w:bidi="ar-DZ"/>
        </w:rPr>
        <w:t>ط1</w:t>
      </w:r>
      <w:proofErr w:type="spellEnd"/>
      <w:r w:rsidRPr="004645D4">
        <w:rPr>
          <w:rFonts w:ascii="Simplified Arabic" w:hAnsi="Simplified Arabic" w:cs="Simplified Arabic"/>
          <w:sz w:val="32"/>
          <w:szCs w:val="32"/>
          <w:rtl/>
          <w:lang w:bidi="ar-DZ"/>
        </w:rPr>
        <w:t>، 2011.</w:t>
      </w:r>
    </w:p>
    <w:p w:rsidR="00F51FEE" w:rsidRPr="004645D4" w:rsidRDefault="00F51FEE" w:rsidP="004645D4">
      <w:pPr>
        <w:tabs>
          <w:tab w:val="right" w:pos="8786"/>
        </w:tabs>
        <w:bidi/>
        <w:spacing w:line="360" w:lineRule="auto"/>
        <w:ind w:right="284"/>
        <w:jc w:val="both"/>
        <w:rPr>
          <w:rFonts w:ascii="Simplified Arabic" w:hAnsi="Simplified Arabic" w:cs="Simplified Arabic"/>
          <w:sz w:val="32"/>
          <w:szCs w:val="32"/>
          <w:rtl/>
          <w:lang w:bidi="ar-DZ"/>
        </w:rPr>
      </w:pPr>
      <w:r w:rsidRPr="004645D4">
        <w:rPr>
          <w:rFonts w:ascii="Simplified Arabic" w:hAnsi="Simplified Arabic" w:cs="Simplified Arabic"/>
          <w:sz w:val="32"/>
          <w:szCs w:val="32"/>
          <w:rtl/>
          <w:lang w:bidi="ar-DZ"/>
        </w:rPr>
        <w:t xml:space="preserve">4/ د. ميلود عمارة: إعجاز القرآن عند العلماء المغاربة مالك بن نبي وعبد الحميد ابن باديس </w:t>
      </w:r>
      <w:proofErr w:type="spellStart"/>
      <w:r w:rsidRPr="004645D4">
        <w:rPr>
          <w:rFonts w:ascii="Simplified Arabic" w:hAnsi="Simplified Arabic" w:cs="Simplified Arabic"/>
          <w:sz w:val="32"/>
          <w:szCs w:val="32"/>
          <w:rtl/>
          <w:lang w:bidi="ar-DZ"/>
        </w:rPr>
        <w:t>أنموذجا</w:t>
      </w:r>
      <w:proofErr w:type="spellEnd"/>
      <w:r w:rsidRPr="004645D4">
        <w:rPr>
          <w:rFonts w:ascii="Simplified Arabic" w:hAnsi="Simplified Arabic" w:cs="Simplified Arabic"/>
          <w:sz w:val="32"/>
          <w:szCs w:val="32"/>
          <w:rtl/>
          <w:lang w:bidi="ar-DZ"/>
        </w:rPr>
        <w:t xml:space="preserve">، الشهاب، مجلد 5، ع 10، محرم 1441، سبتمبر 2019، نقلا عن جلال الدين السيوطي: الإتقان في علوم القرآن، </w:t>
      </w:r>
      <w:proofErr w:type="spellStart"/>
      <w:r w:rsidRPr="004645D4">
        <w:rPr>
          <w:rFonts w:ascii="Simplified Arabic" w:hAnsi="Simplified Arabic" w:cs="Simplified Arabic"/>
          <w:sz w:val="32"/>
          <w:szCs w:val="32"/>
          <w:rtl/>
          <w:lang w:bidi="ar-DZ"/>
        </w:rPr>
        <w:t>ج4</w:t>
      </w:r>
      <w:proofErr w:type="spellEnd"/>
      <w:r w:rsidRPr="004645D4">
        <w:rPr>
          <w:rFonts w:ascii="Simplified Arabic" w:hAnsi="Simplified Arabic" w:cs="Simplified Arabic"/>
          <w:sz w:val="32"/>
          <w:szCs w:val="32"/>
          <w:rtl/>
          <w:lang w:bidi="ar-DZ"/>
        </w:rPr>
        <w:t>، ص: 10، 11.</w:t>
      </w:r>
    </w:p>
    <w:p w:rsidR="00F51FEE" w:rsidRPr="004645D4" w:rsidRDefault="00F51FEE" w:rsidP="004645D4">
      <w:pPr>
        <w:tabs>
          <w:tab w:val="right" w:pos="8786"/>
        </w:tabs>
        <w:bidi/>
        <w:spacing w:line="360" w:lineRule="auto"/>
        <w:ind w:left="-3" w:right="284"/>
        <w:jc w:val="both"/>
        <w:rPr>
          <w:rFonts w:ascii="Simplified Arabic" w:hAnsi="Simplified Arabic" w:cs="Simplified Arabic"/>
          <w:sz w:val="32"/>
          <w:szCs w:val="32"/>
          <w:rtl/>
          <w:lang w:bidi="ar-DZ"/>
        </w:rPr>
      </w:pPr>
      <w:r w:rsidRPr="004645D4">
        <w:rPr>
          <w:rFonts w:ascii="Simplified Arabic" w:hAnsi="Simplified Arabic" w:cs="Simplified Arabic"/>
          <w:sz w:val="32"/>
          <w:szCs w:val="32"/>
          <w:rtl/>
          <w:lang w:bidi="ar-DZ"/>
        </w:rPr>
        <w:t xml:space="preserve">5/ حسن مسعود الطوير: جهود علماء الغرب الإسلامي واتجاهاتهم في دراسة الإعجاز القرآني من القرن الخامس حتى القرن الثامن للهجرة، دار قتيبة للنشر والتوزيع، دمشق، بيروت، </w:t>
      </w:r>
      <w:proofErr w:type="spellStart"/>
      <w:r w:rsidRPr="004645D4">
        <w:rPr>
          <w:rFonts w:ascii="Simplified Arabic" w:hAnsi="Simplified Arabic" w:cs="Simplified Arabic"/>
          <w:sz w:val="32"/>
          <w:szCs w:val="32"/>
          <w:rtl/>
          <w:lang w:bidi="ar-DZ"/>
        </w:rPr>
        <w:t>ط1</w:t>
      </w:r>
      <w:proofErr w:type="spellEnd"/>
      <w:r w:rsidRPr="004645D4">
        <w:rPr>
          <w:rFonts w:ascii="Simplified Arabic" w:hAnsi="Simplified Arabic" w:cs="Simplified Arabic"/>
          <w:sz w:val="32"/>
          <w:szCs w:val="32"/>
          <w:rtl/>
          <w:lang w:bidi="ar-DZ"/>
        </w:rPr>
        <w:t>، 1430 من ميلاد الرسول صلى الله عليه وسلم.</w:t>
      </w:r>
    </w:p>
    <w:bookmarkEnd w:id="0"/>
    <w:p w:rsidR="0089770F" w:rsidRPr="004645D4" w:rsidRDefault="0089770F" w:rsidP="004645D4">
      <w:pPr>
        <w:spacing w:line="360" w:lineRule="auto"/>
        <w:rPr>
          <w:sz w:val="32"/>
          <w:szCs w:val="32"/>
          <w:lang w:bidi="ar-DZ"/>
        </w:rPr>
      </w:pPr>
    </w:p>
    <w:sectPr w:rsidR="0089770F" w:rsidRPr="00464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98"/>
    <w:rsid w:val="004645D4"/>
    <w:rsid w:val="0089770F"/>
    <w:rsid w:val="00DB6598"/>
    <w:rsid w:val="00F51F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E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E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1103</Words>
  <Characters>6072</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2021-05-07T23:39:00Z</dcterms:created>
  <dcterms:modified xsi:type="dcterms:W3CDTF">2021-05-07T23:44:00Z</dcterms:modified>
</cp:coreProperties>
</file>