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51" w:rsidRDefault="003B3A51" w:rsidP="003B3A51">
      <w:pPr>
        <w:pStyle w:val="NormalWeb"/>
        <w:shd w:val="clear" w:color="auto" w:fill="FFFFFF"/>
        <w:bidi/>
        <w:spacing w:before="0" w:beforeAutospacing="0" w:after="148" w:afterAutospacing="0"/>
        <w:contextualSpacing/>
        <w:jc w:val="both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</w:p>
    <w:p w:rsidR="003B3A51" w:rsidRDefault="003B3A51" w:rsidP="003B3A51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center"/>
        <w:rPr>
          <w:rFonts w:ascii="Traditional Arabic" w:hAnsi="Traditional Arabic" w:cs="Traditional Arabic"/>
          <w:b/>
          <w:bCs/>
          <w:color w:val="C00000"/>
          <w:sz w:val="32"/>
          <w:szCs w:val="32"/>
        </w:rPr>
      </w:pPr>
      <w:proofErr w:type="gramStart"/>
      <w:r w:rsidRPr="00F40A55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المحاضرة</w:t>
      </w:r>
      <w:proofErr w:type="gramEnd"/>
      <w:r w:rsidRPr="00F40A55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 xml:space="preserve"> الرابعة</w:t>
      </w:r>
      <w:r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 </w:t>
      </w:r>
    </w:p>
    <w:p w:rsidR="003B3A51" w:rsidRPr="00F40A55" w:rsidRDefault="003B3A51" w:rsidP="003B3A51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center"/>
        <w:rPr>
          <w:rFonts w:ascii="Traditional Arabic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عصر التن</w:t>
      </w:r>
      <w:r w:rsidRPr="00F40A55">
        <w:rPr>
          <w:rFonts w:ascii="Traditional Arabic" w:hAnsi="Traditional Arabic" w:cs="Traditional Arabic" w:hint="cs"/>
          <w:b/>
          <w:bCs/>
          <w:color w:val="C00000"/>
          <w:sz w:val="32"/>
          <w:szCs w:val="32"/>
          <w:rtl/>
        </w:rPr>
        <w:t>وير في أوربا</w:t>
      </w:r>
    </w:p>
    <w:p w:rsidR="003B3A51" w:rsidRDefault="003B3A51" w:rsidP="003B3A51">
      <w:pPr>
        <w:pStyle w:val="NormalWeb"/>
        <w:shd w:val="clear" w:color="auto" w:fill="FFFFFF"/>
        <w:bidi/>
        <w:spacing w:before="0" w:beforeAutospacing="0" w:after="148" w:afterAutospacing="0"/>
        <w:contextualSpacing/>
        <w:jc w:val="both"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C00000"/>
          <w:sz w:val="32"/>
          <w:szCs w:val="32"/>
        </w:rPr>
        <w:t xml:space="preserve"> </w:t>
      </w:r>
    </w:p>
    <w:p w:rsidR="003B3A51" w:rsidRPr="00F40A55" w:rsidRDefault="003B3A51" w:rsidP="003B3A51">
      <w:pPr>
        <w:pStyle w:val="NormalWeb"/>
        <w:shd w:val="clear" w:color="auto" w:fill="FFFFFF"/>
        <w:bidi/>
        <w:spacing w:before="0" w:beforeAutospacing="0" w:after="148" w:afterAutospacing="0"/>
        <w:contextualSpacing/>
        <w:jc w:val="both"/>
        <w:rPr>
          <w:rFonts w:ascii="Traditional Arabic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hAnsi="Traditional Arabic" w:cs="Traditional Arabic" w:hint="cs"/>
          <w:color w:val="C00000"/>
          <w:sz w:val="32"/>
          <w:szCs w:val="32"/>
          <w:rtl/>
        </w:rPr>
        <w:t xml:space="preserve"> </w:t>
      </w:r>
      <w:proofErr w:type="gramStart"/>
      <w:r w:rsidRPr="00F40A55">
        <w:rPr>
          <w:rFonts w:ascii="Traditional Arabic" w:hAnsi="Traditional Arabic" w:cs="Traditional Arabic" w:hint="cs"/>
          <w:color w:val="C00000"/>
          <w:sz w:val="32"/>
          <w:szCs w:val="32"/>
          <w:rtl/>
        </w:rPr>
        <w:t>يعرف</w:t>
      </w:r>
      <w:proofErr w:type="gramEnd"/>
      <w:r w:rsidRPr="00F40A55">
        <w:rPr>
          <w:rFonts w:ascii="Traditional Arabic" w:hAnsi="Traditional Arabic" w:cs="Traditional Arabic"/>
          <w:color w:val="C00000"/>
          <w:sz w:val="32"/>
          <w:szCs w:val="32"/>
          <w:rtl/>
        </w:rPr>
        <w:t xml:space="preserve"> </w:t>
      </w:r>
      <w:r w:rsidRPr="003B3A51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</w:rPr>
        <w:t>عصر التنوير</w:t>
      </w:r>
      <w:r w:rsidRPr="00F40A55">
        <w:rPr>
          <w:rFonts w:ascii="Traditional Arabic" w:hAnsi="Traditional Arabic" w:cs="Traditional Arabic"/>
          <w:color w:val="C00000"/>
          <w:sz w:val="32"/>
          <w:szCs w:val="32"/>
          <w:rtl/>
        </w:rPr>
        <w:t xml:space="preserve"> أيضًا باسم عصر العقل، </w:t>
      </w:r>
      <w:r w:rsidRPr="00F40A55">
        <w:rPr>
          <w:rFonts w:ascii="Traditional Arabic" w:hAnsi="Traditional Arabic" w:cs="Traditional Arabic" w:hint="cs"/>
          <w:color w:val="C00000"/>
          <w:sz w:val="32"/>
          <w:szCs w:val="32"/>
          <w:rtl/>
        </w:rPr>
        <w:t>وهو</w:t>
      </w:r>
      <w:r w:rsidRPr="00F40A55">
        <w:rPr>
          <w:rFonts w:ascii="Traditional Arabic" w:hAnsi="Traditional Arabic" w:cs="Traditional Arabic"/>
          <w:color w:val="C00000"/>
          <w:sz w:val="32"/>
          <w:szCs w:val="32"/>
          <w:rtl/>
        </w:rPr>
        <w:t xml:space="preserve"> حركة فلسفية كان مهدها الأول في أوروبا ثم انتقلت في وقت لاحق إلى أمريكا الشمالية أثناء</w:t>
      </w:r>
      <w:r w:rsidRPr="00F40A55">
        <w:rPr>
          <w:rFonts w:ascii="Traditional Arabic" w:hAnsi="Traditional Arabic" w:cs="Traditional Arabic" w:hint="cs"/>
          <w:color w:val="C00000"/>
          <w:sz w:val="32"/>
          <w:szCs w:val="32"/>
          <w:rtl/>
        </w:rPr>
        <w:t xml:space="preserve"> بين</w:t>
      </w:r>
      <w:r w:rsidRPr="00F40A55">
        <w:rPr>
          <w:rFonts w:ascii="Traditional Arabic" w:hAnsi="Traditional Arabic" w:cs="Traditional Arabic"/>
          <w:color w:val="C00000"/>
          <w:sz w:val="32"/>
          <w:szCs w:val="32"/>
          <w:rtl/>
        </w:rPr>
        <w:t xml:space="preserve"> القرن السابع عشر والقرن الثامن عشر.</w:t>
      </w:r>
    </w:p>
    <w:p w:rsidR="003B3A51" w:rsidRPr="00F40A55" w:rsidRDefault="003B3A51" w:rsidP="003B3A51">
      <w:pPr>
        <w:pStyle w:val="NormalWeb"/>
        <w:shd w:val="clear" w:color="auto" w:fill="FFFFFF"/>
        <w:bidi/>
        <w:spacing w:before="0" w:beforeAutospacing="0" w:after="148" w:afterAutospacing="0"/>
        <w:contextualSpacing/>
        <w:jc w:val="both"/>
        <w:rPr>
          <w:rFonts w:ascii="Traditional Arabic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hAnsi="Traditional Arabic" w:cs="Traditional Arabic" w:hint="cs"/>
          <w:color w:val="C00000"/>
          <w:sz w:val="32"/>
          <w:szCs w:val="32"/>
          <w:rtl/>
        </w:rPr>
        <w:t>وقد نتج عصر التنوير من حركة النهضة ونزعتها الإنسانية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يع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د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كتاب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الأصول الرياضية للفلسفة الطبيعية -الذي ألفه نيوتن عام 1687- أول الأعمال التنويرية الرئيسية. نشر الفلاسفة والعلماء في تلك الحقبة أفكارهم على نطاق واسع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عن طريق اللقاءات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، ومن خلال الكتب المطبوعة والصحف والمنشورات. 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proofErr w:type="gram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أنهت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أفكار عصر التنوير السلطة الملكية وسلطة الكنيسة، ومه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دت الطريق أمام الثورات السياسية في القرنين الثامن عشر والتاسع عشر.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اشتمل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 فلسفة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التنوير على مجموعة من الأفكار التي تركز على سيادة العقل وال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اعتماد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على الحواس بوصفها مصدرًا أساسيًا للمعرفة، وعلى المثل العليا كالحرية والرقي والتسامح والإخاء والحكومة الدستورية وفصل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hyperlink r:id="rId4" w:tooltip="كنيسة" w:history="1">
        <w:r w:rsidRPr="00F40A55">
          <w:rPr>
            <w:rFonts w:ascii="Traditional Arabic" w:eastAsia="Times New Roman" w:hAnsi="Traditional Arabic" w:cs="Traditional Arabic"/>
            <w:color w:val="C00000"/>
            <w:sz w:val="32"/>
            <w:szCs w:val="32"/>
            <w:u w:val="single"/>
            <w:rtl/>
          </w:rPr>
          <w:t>الكنيسة</w:t>
        </w:r>
      </w:hyperlink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عن الدولة.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proofErr w:type="gram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كما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تميز التنوير بالتركيز على المنهج العلمي وعلى الاختزالية فضلًا عن التشكيك المتزايد بالعقائد الدينية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التي كانت مفروضة من قبل الكنيسة.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أجمل الفيلسوف الألماني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كانط</w:t>
      </w:r>
      <w:proofErr w:type="spell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 التنوير في الاستقلال بالتفكير والتقرير ونبذ وصاية الغير. 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 مهدت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فلسفة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>
        <w:rPr>
          <w:rFonts w:hint="cs"/>
          <w:rtl/>
        </w:rPr>
        <w:t>رينيه ديكارت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القائمة على منهج الشك الطريق أمام أفكار عصر التنوير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.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ثم جاء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>
        <w:rPr>
          <w:rFonts w:hint="cs"/>
          <w:rtl/>
        </w:rPr>
        <w:t xml:space="preserve">جون </w:t>
      </w:r>
      <w:proofErr w:type="spellStart"/>
      <w:r>
        <w:rPr>
          <w:rFonts w:hint="cs"/>
          <w:rtl/>
        </w:rPr>
        <w:t>لوك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فنقح هذا المبدأ،  ثم  تلت ذلك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كتابات دافيد </w:t>
      </w:r>
      <w:proofErr w:type="spellStart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هيوم</w:t>
      </w:r>
      <w:proofErr w:type="spell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التي صبت في نفس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الاتجاه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ويرى بعض الدارسين أن الفكر التنويري سار في خطين منفصلين: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خط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معتدل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يمثله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رينيه ديكارت وج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ن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لوك</w:t>
      </w:r>
      <w:proofErr w:type="spell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وكريستيان وولف، حيث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سعى هذا الخط للمواءمة بين الإصلاح والأنظمة التقليدية للسلطة والدين، و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الخط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الثاني  راديكالي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تمثله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فلسفة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سبينوزا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، ويناصر الديمقراطية والحرية الفردية وحرية التعبير وتقويض السلطة الدينية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في منتصف القرن الثامن عشر، أصبحت باريس مركز النشاط الفلسفي </w:t>
      </w:r>
      <w:proofErr w:type="gram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والعلمي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الذي يتحدى العقائد التقليدية.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قاد تلك الحركة الفلسفية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فولتير وجون جاك روسو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، اللذان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دعوا إلى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مجتمع يقوم على العقل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نظام مدني جديد يقوم على القانون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علم يقوم على التجربة والملاحظة. 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lastRenderedPageBreak/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قدم الفيلسوف السياسي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الفرنسي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مونتيسكيو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فكرة</w:t>
      </w:r>
      <w:r w:rsidRPr="00F40A55">
        <w:rPr>
          <w:rFonts w:hint="cs"/>
          <w:color w:val="C00000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فصل السلطات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في الحكومة، وهو مفهوم تبناه كُتّا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ب دستور الولايات المتحدة الأمريكية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proofErr w:type="gram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رغم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فلاسفة التنوير الفرنسي لم يكونوا ثوريين وكانوا من طبقة النبلاء، 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كان لآراء الفلاسفة الفرنسيين </w:t>
      </w:r>
      <w:proofErr w:type="gram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أثر</w:t>
      </w:r>
      <w:proofErr w:type="gram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كبير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في تقويض شرعية النظام القديم و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قيام الثورة الفرنسية.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حاول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hint="cs"/>
          <w:color w:val="C00000"/>
          <w:rtl/>
        </w:rPr>
        <w:t xml:space="preserve">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كانط</w:t>
      </w:r>
      <w:proofErr w:type="spellEnd"/>
      <w:r w:rsidRPr="00F40A55">
        <w:rPr>
          <w:rFonts w:hint="cs"/>
          <w:color w:val="C00000"/>
          <w:rtl/>
        </w:rPr>
        <w:t xml:space="preserve">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(1724-1804)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التوفيق بين العقلانية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الإيمان الديني،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وبين الحرية الفردية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السلطة السياسية،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وقد صاغ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عمل 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ط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الفكر الألماني و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مجم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 الفلسفة الأوروبية حتى القرن العشرين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proofErr w:type="gramStart"/>
      <w:r w:rsidRPr="00F40A55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العلم</w:t>
      </w:r>
      <w:proofErr w:type="gramEnd"/>
      <w:r w:rsidRPr="00F40A55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والمنهج العلمي: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واكبت العلوم والمكتشفات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الفكر التنويري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أوربا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وكانت سلطة الكنيسة والملوك تضعف باستمرار مع توالي </w:t>
      </w:r>
      <w:proofErr w:type="gram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المخترعات</w:t>
      </w:r>
      <w:proofErr w:type="gram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ورافق ذلك دعوة فلاسفة التنوير 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تطوير حرية التعبير والفكر.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ومن أهم مكتشفات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عصر التنوير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: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اكتشاف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ثاني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أوكسيد</w:t>
      </w:r>
      <w:proofErr w:type="spell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الكربون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من قبل الكيميائي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جوزيف بلاك،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واختراع</w:t>
      </w:r>
      <w:r w:rsidRPr="00F40A55">
        <w:rPr>
          <w:rFonts w:hint="cs"/>
          <w:color w:val="C00000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محرك البخار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بواسطة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جيمس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واط</w:t>
      </w:r>
      <w:proofErr w:type="spell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وا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ستخدمت تجارب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لافوازييه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لإنشاء أول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مصانع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كيميائية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حديثة في باريس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 احتفى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العلم التنويري بشكل كبير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بالمنهج التجريبي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والفكر العقلاني وكان جزءًا لا يتجزأ من نموذج التنوير للتقدم والارتقاء. </w:t>
      </w:r>
      <w:proofErr w:type="gram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بعد</w:t>
      </w:r>
      <w:proofErr w:type="gram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عام 1700، أسِس عدد هائل من الأكاديميات والجمعيات الرسمية في أوروبا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وبحلول عام 1789 كان هناك أكثر من سبعين جمعية علمية رسمية.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ولذلك سمى بعضهم هذا العصر بعصر </w:t>
      </w:r>
      <w:proofErr w:type="gramStart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الأكاديميات</w:t>
      </w:r>
      <w:proofErr w:type="gram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أوربا.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proofErr w:type="gramStart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التنوير</w:t>
      </w:r>
      <w:proofErr w:type="gramEnd"/>
      <w:r w:rsidRPr="00F40A55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ومسألة </w:t>
      </w:r>
      <w:r w:rsidRPr="00F40A55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العقل:</w:t>
      </w:r>
    </w:p>
    <w:p w:rsidR="003B3A51" w:rsidRPr="00F40A55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ألح </w:t>
      </w:r>
      <w:proofErr w:type="spellStart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التنويريون</w:t>
      </w:r>
      <w:proofErr w:type="spellEnd"/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على العقل وأنه سبيل الإنسان إلى الاستقلال بالتفكير والخروج من الوصاية بأنواعها. وقد رأى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التنوير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ن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أنه ينبغي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حماية الإنسان وتعليمه 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ان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يصبح ناضج وقادر على الاعتماد على نفسه، وأن يستخدم عقله للتحرر من المعتقدات الغريزية في الحقائق المعطاة، سواء تلك الفطرية التي تشكلت في ميدان المعرفة، أو تلك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تبناها رجال الدين.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.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والعقل كما تصوروا قادر على معالجة جميع القضايا التي تهم الإنسان.</w:t>
      </w:r>
    </w:p>
    <w:p w:rsidR="003B3A51" w:rsidRPr="00E637B0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ذهب جان جاك روسو إلى أن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مهمة 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التنويرين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المثقفين، الذين يطلقون على أنفسهم فلاسفة يجب أن تكون  التشجيع على إعمال العقل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هذ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 هي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مس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ؤ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ولية المفكر أمام المجتمع الذي يعيش فيه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؛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وهي 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مهمة تربوية للتحرر م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ن 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من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طغيان النظام الملكي المطلق.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وطغيان النظام الكنسي، وهو ما سماه روسو (</w:t>
      </w:r>
      <w:proofErr w:type="spellStart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الظلامية</w:t>
      </w:r>
      <w:proofErr w:type="spellEnd"/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الدينية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)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، هذا البرنامج التعليمي حسب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روسو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سوف يعني إعادة الإنسان إلى حالته الأولية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الطبيعية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عن طريق تحويل الخير العفوي للحالة الطبيعية </w:t>
      </w:r>
      <w:r w:rsidRPr="00F40A55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إلى حالة من الوعي العقلاني</w:t>
      </w:r>
      <w:r w:rsidRPr="00F40A55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. 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فهو يقول: "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كل </w:t>
      </w:r>
      <w:proofErr w:type="spellStart"/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شئ</w:t>
      </w:r>
      <w:proofErr w:type="spellEnd"/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جيد عندما يغادر يد خالق الأشياء؛ 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ولكنه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ينحط في يد الإنسان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"</w:t>
      </w:r>
    </w:p>
    <w:p w:rsidR="003B3A51" w:rsidRPr="00382D2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proofErr w:type="gramStart"/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lastRenderedPageBreak/>
        <w:t>إن</w:t>
      </w:r>
      <w:proofErr w:type="gramEnd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العقل عند التنويريين لا ينبغي أن يقف عند حدود التأمل، بل يجب أن يكون وظيفيا، تتحدد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صلاحيته بالنتائج العملية التي يحققها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العقلانية صالحة إذا كانت قادرة على شرح وترتيب الأحداث استناداً إلى قوانين النظام العقلاني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وهذا</w:t>
      </w:r>
      <w:proofErr w:type="gramEnd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من منطلق أن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كل إنسان وهب قدرة غريزية على الفهم، مما يجعله مساوياً لجميع الآخرين بشرط أن يتم تحريره من فساد الخرافات والجهل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3B3A51" w:rsidRPr="00382D2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الإنسان، المتحرر من </w:t>
      </w:r>
      <w:proofErr w:type="spellStart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إكراهات</w:t>
      </w:r>
      <w:proofErr w:type="spellEnd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الخرافة والجهل والاستبداد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، يستخدم عقله بشكل صحيح وتلقائي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ويظهر هذا الأمر في ما سمي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"الهمجي النبيل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"</w:t>
      </w:r>
    </w:p>
    <w:p w:rsidR="003B3A51" w:rsidRPr="00382D2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proofErr w:type="gramStart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و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تقوم</w:t>
      </w:r>
      <w:proofErr w:type="gramEnd"/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فكرة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(الهمجي النبيل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) على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الاعتقاد بأن ال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إ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نسان كان أصله حيوان طيب ومسالم، ولكن فسد بمرور الوقت بسبب المجتمع والتقدم. ويجسد مفه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وم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الهمجي النبيل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 xml:space="preserve">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الاعتقاد بأن البشر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خيرون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أساسا،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(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مذهب خيرية البشرية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)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، وتغذت أسطورة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الهمجي النبيل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من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البعثات التبشيرية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اليسوعي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ة</w:t>
      </w:r>
      <w:r w:rsidRPr="00382D2A">
        <w:rPr>
          <w:rFonts w:hint="cs"/>
          <w:color w:val="C00000"/>
          <w:rtl/>
        </w:rPr>
        <w:t xml:space="preserve">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التي بدأت في القرن السابع عشر في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أمريكا الجنوبية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، وتمثلت في إنشاء مراكز تبشيرية لتبشير الشعوب الأصلية بهدف خلق مجتمع بالسمات الخ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يرية للمجتمع المسيحي الأوروبي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تخلو من الرذائل والجوانب السلبية.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الهنود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هم 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الأكثر </w:t>
      </w:r>
      <w:proofErr w:type="spellStart"/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ملا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ء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مة</w:t>
      </w:r>
      <w:proofErr w:type="spellEnd"/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لهذا المشروع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حيث تتقبل طبيعتهم الت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عاليم اليسوعية.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فهم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يجسدو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ن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الخيرية الأولية للإنسان البدائي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لا </w:t>
      </w:r>
      <w:proofErr w:type="spellStart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سيما</w:t>
      </w:r>
      <w:proofErr w:type="spell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مع 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ميولهم الفنية للطبيعة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لموسيقى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خاصة.</w:t>
      </w:r>
    </w:p>
    <w:p w:rsidR="003B3A51" w:rsidRPr="00382D2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في عصر التنوير عمل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روسو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على نشر فكرة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الهمجي النبيل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، مؤكدا في</w:t>
      </w:r>
      <w:r w:rsidRPr="00382D2A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382D2A">
        <w:rPr>
          <w:rFonts w:hint="cs"/>
          <w:color w:val="C00000"/>
          <w:rtl/>
        </w:rPr>
        <w:t xml:space="preserve"> 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العقد الاجتماعي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أن 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الإنسان 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ولد 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حرا ولكن</w:t>
      </w:r>
      <w:r w:rsidRPr="00E637B0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</w:t>
      </w:r>
      <w:r w:rsidRPr="00E637B0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قيد بعد ذلك بالقيود</w:t>
      </w:r>
      <w:r w:rsidRPr="00382D2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3B3A51" w:rsidRPr="005A085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proofErr w:type="gramStart"/>
      <w:r w:rsidRPr="005A085A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الثورات</w:t>
      </w:r>
      <w:proofErr w:type="gramEnd"/>
      <w:r w:rsidRPr="005A085A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: </w:t>
      </w:r>
    </w:p>
    <w:p w:rsidR="003B3A51" w:rsidRPr="005A085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كان من أخطر نتائج عصر التنوير في أوربا ما أعقبه من ثورات اجتماعية وسياسية تمخضت عن مفهوم الدولة الحديثة بجهازها البيروقراطي وجيشها الخاص، وسيادة </w:t>
      </w:r>
      <w:proofErr w:type="spell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العقلنة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تنظيم شؤون الدولة والمجتمع، وأصبحت السلطات الحاكمة في الدول الحديثة تستمد سلطتها من التمثيل الشعبي لا من الصفة الدينية التي كان يدعيها رجال الكنيسة قبل ذلك.</w:t>
      </w:r>
    </w:p>
    <w:p w:rsidR="003B3A51" w:rsidRPr="005A085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proofErr w:type="gram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</w:t>
      </w:r>
      <w:proofErr w:type="gram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قامت الثورة الفرنسية ثم الثورة الأمريكية في هذا السياق، وقد ولد مفهوم الرأسمالية إثر هذه التحوّلات التي كانت سببا في ظهور الاشتراكية بعد ذلك.</w:t>
      </w:r>
    </w:p>
    <w:p w:rsidR="003B3A51" w:rsidRPr="005A085A" w:rsidRDefault="003B3A51" w:rsidP="003B3A51">
      <w:pPr>
        <w:shd w:val="clear" w:color="auto" w:fill="FFFFFF"/>
        <w:bidi/>
        <w:spacing w:before="120" w:after="120" w:line="384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وكان من أهم أعلام عصر التنوير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فولتير وجان جاك روسو ودافيد </w:t>
      </w:r>
      <w:proofErr w:type="spell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هيوم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وختم الفيلسوف الألماني </w:t>
      </w:r>
      <w:proofErr w:type="spell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كانط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هذه المرحلة بفلسفته التي حاولت أن تجيب على أسئلة العقل والأخلاق وترافع من أجل العلمانية على المستوى الفكري والفلسفي. و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 للثورة العلمية التي سبقت عصر التنوير تأثير كبير على فلاسفته ومفكريه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ومن بين أهم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أعلام عصر التنوير في أوربا: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سبينوزا</w:t>
      </w:r>
      <w:proofErr w:type="spellEnd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وكان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ط</w:t>
      </w:r>
      <w:proofErr w:type="spellEnd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وديدرو</w:t>
      </w:r>
      <w:proofErr w:type="spellEnd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دافيد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هيوم</w:t>
      </w:r>
      <w:proofErr w:type="spellEnd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جان جاك 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روسو وآدم سميث. </w:t>
      </w:r>
      <w:proofErr w:type="gram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</w:t>
      </w:r>
      <w:proofErr w:type="gram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حاول بعض الحكام الأوروبيين تطبيق أفكار التنوير على التسامح الديني والسياسي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ما أصبح يعرف باسم الحكم المطلق المستنير.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lastRenderedPageBreak/>
        <w:t>و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ربطت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بعض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الشخصيات السياسية والفكرية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البارزة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في الثورة الأمريكية نفسها بشكل وثيق مع التنوير،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بنيامين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فرانكلين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توماس </w:t>
      </w:r>
      <w:proofErr w:type="spellStart"/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جيفرسون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وجيمس </w:t>
      </w:r>
      <w:proofErr w:type="spellStart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ماديسون</w:t>
      </w:r>
      <w:proofErr w:type="spellEnd"/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الذي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ضم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ّن</w:t>
      </w:r>
      <w:r w:rsidRPr="005A085A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A085A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الدستور الأمريكي كثيرا من الأفكار المثل الذي تبلورت في عصر التنوير. </w:t>
      </w:r>
    </w:p>
    <w:p w:rsidR="008F2D57" w:rsidRDefault="008F2D57" w:rsidP="003B3A51">
      <w:pPr>
        <w:bidi/>
        <w:jc w:val="both"/>
      </w:pPr>
    </w:p>
    <w:sectPr w:rsidR="008F2D5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3B3A51"/>
    <w:rsid w:val="003B3A51"/>
    <w:rsid w:val="008F2D57"/>
    <w:rsid w:val="00C3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.wikipedia.org/wiki/%D9%83%D9%86%D9%8A%D8%B3%D8%A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2021-05-11T09:14:00Z</dcterms:created>
  <dcterms:modified xsi:type="dcterms:W3CDTF">2021-05-11T09:24:00Z</dcterms:modified>
</cp:coreProperties>
</file>